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4BA" w:rsidRPr="007A6AD3" w:rsidRDefault="001370C2" w:rsidP="007A6AD3">
      <w:pPr>
        <w:jc w:val="center"/>
        <w:rPr>
          <w:rFonts w:ascii="Arial" w:hAnsi="Arial" w:cs="Arial"/>
          <w:b/>
        </w:rPr>
      </w:pPr>
      <w:r w:rsidRPr="007A6AD3">
        <w:rPr>
          <w:rFonts w:ascii="Arial" w:hAnsi="Arial" w:cs="Arial"/>
          <w:b/>
        </w:rPr>
        <w:t>L’I</w:t>
      </w:r>
      <w:r w:rsidR="007A6AD3">
        <w:rPr>
          <w:rFonts w:ascii="Arial" w:hAnsi="Arial" w:cs="Arial"/>
          <w:b/>
        </w:rPr>
        <w:t>ngiunzione Fiscale in Materia di Privacy</w:t>
      </w:r>
    </w:p>
    <w:p w:rsidR="003528A2" w:rsidRDefault="002B0926" w:rsidP="008332E5">
      <w:pPr>
        <w:spacing w:line="360" w:lineRule="auto"/>
        <w:rPr>
          <w:rStyle w:val="Enfasigrassetto"/>
          <w:rFonts w:ascii="Arial" w:hAnsi="Arial" w:cs="Arial"/>
          <w:sz w:val="20"/>
          <w:szCs w:val="20"/>
          <w:u w:val="single"/>
        </w:rPr>
      </w:pPr>
      <w:bookmarkStart w:id="0" w:name="Voce_5"/>
      <w:r w:rsidRPr="00524CAE">
        <w:rPr>
          <w:rStyle w:val="Enfasigrassetto"/>
          <w:rFonts w:ascii="Arial" w:hAnsi="Arial" w:cs="Arial"/>
          <w:sz w:val="20"/>
          <w:szCs w:val="20"/>
          <w:u w:val="single"/>
        </w:rPr>
        <w:t>RIF</w:t>
      </w:r>
      <w:r w:rsidR="003528A2" w:rsidRPr="00524CAE">
        <w:rPr>
          <w:rStyle w:val="Enfasigrassetto"/>
          <w:rFonts w:ascii="Arial" w:hAnsi="Arial" w:cs="Arial"/>
          <w:sz w:val="20"/>
          <w:szCs w:val="20"/>
          <w:u w:val="single"/>
        </w:rPr>
        <w:t>E</w:t>
      </w:r>
      <w:r w:rsidRPr="00524CAE">
        <w:rPr>
          <w:rStyle w:val="Enfasigrassetto"/>
          <w:rFonts w:ascii="Arial" w:hAnsi="Arial" w:cs="Arial"/>
          <w:sz w:val="20"/>
          <w:szCs w:val="20"/>
          <w:u w:val="single"/>
        </w:rPr>
        <w:t>RIMENTI NORMATIVI</w:t>
      </w:r>
      <w:bookmarkEnd w:id="0"/>
    </w:p>
    <w:p w:rsidR="00013BA9" w:rsidRPr="00013BA9" w:rsidRDefault="00013BA9" w:rsidP="00013BA9">
      <w:pPr>
        <w:pStyle w:val="Paragrafoelenco"/>
        <w:numPr>
          <w:ilvl w:val="0"/>
          <w:numId w:val="1"/>
        </w:numPr>
        <w:spacing w:line="360" w:lineRule="auto"/>
        <w:rPr>
          <w:rStyle w:val="Enfasigrassetto"/>
          <w:rFonts w:ascii="Arial" w:hAnsi="Arial" w:cs="Arial"/>
          <w:b w:val="0"/>
          <w:sz w:val="20"/>
          <w:szCs w:val="20"/>
        </w:rPr>
      </w:pPr>
      <w:r>
        <w:rPr>
          <w:rStyle w:val="Enfasigrassetto"/>
          <w:rFonts w:ascii="Arial" w:hAnsi="Arial" w:cs="Arial"/>
          <w:b w:val="0"/>
          <w:sz w:val="20"/>
          <w:szCs w:val="20"/>
        </w:rPr>
        <w:t>Relazione del Garante 2003 – 28 aprile 2004</w:t>
      </w:r>
      <w:bookmarkStart w:id="1" w:name="_GoBack"/>
      <w:bookmarkEnd w:id="1"/>
    </w:p>
    <w:p w:rsidR="003528A2" w:rsidRDefault="003528A2" w:rsidP="0099411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 Decreto 639/1910;</w:t>
      </w:r>
    </w:p>
    <w:p w:rsidR="003528A2" w:rsidRDefault="003528A2" w:rsidP="0099411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D.L. 248/2007 convertito nella Legge 31/2008 art. 36 comma 2</w:t>
      </w:r>
      <w:r w:rsidR="00B647B4">
        <w:rPr>
          <w:rFonts w:ascii="Arial" w:hAnsi="Arial" w:cs="Arial"/>
          <w:sz w:val="20"/>
          <w:szCs w:val="20"/>
        </w:rPr>
        <w:t>;</w:t>
      </w:r>
    </w:p>
    <w:p w:rsidR="001C1323" w:rsidRDefault="00B647B4" w:rsidP="0099411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D.L. 70/2011 convertito nella Legge 106/2011 art. 7 comma 2 lettera gg-quater;</w:t>
      </w:r>
    </w:p>
    <w:p w:rsidR="001C1323" w:rsidRDefault="001C1323" w:rsidP="0099411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D.L. 193/2016 convertito nella legge 225/2016 (istitutivo del nuovo riscossore nazionale Agenzia delle entrate-riscossione) art. 2 comma 2; </w:t>
      </w:r>
    </w:p>
    <w:p w:rsidR="00013BA9" w:rsidRPr="00013BA9" w:rsidRDefault="001C1323" w:rsidP="00013BA9">
      <w:pPr>
        <w:pStyle w:val="Paragrafoelenco"/>
        <w:numPr>
          <w:ilvl w:val="0"/>
          <w:numId w:val="1"/>
        </w:numPr>
        <w:shd w:val="clear" w:color="auto" w:fill="FFFFFF"/>
        <w:spacing w:before="92" w:after="92" w:line="360" w:lineRule="auto"/>
        <w:jc w:val="both"/>
        <w:rPr>
          <w:rFonts w:ascii="Helvetica" w:hAnsi="Helvetica" w:cs="Helvetica"/>
          <w:color w:val="292929"/>
          <w:sz w:val="12"/>
          <w:szCs w:val="12"/>
        </w:rPr>
      </w:pPr>
      <w:r w:rsidRPr="00013BA9">
        <w:rPr>
          <w:rFonts w:ascii="Arial" w:hAnsi="Arial" w:cs="Arial"/>
          <w:sz w:val="20"/>
          <w:szCs w:val="20"/>
        </w:rPr>
        <w:t>Risoluzione Agenzia delle entrate n. 149/E del 12/12/2017.</w:t>
      </w:r>
    </w:p>
    <w:p w:rsidR="00013BA9" w:rsidRPr="00013BA9" w:rsidRDefault="00013BA9" w:rsidP="00013BA9">
      <w:pPr>
        <w:shd w:val="clear" w:color="auto" w:fill="FFFFFF"/>
        <w:spacing w:before="92" w:after="92" w:line="36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013BA9">
        <w:rPr>
          <w:rStyle w:val="Enfasigrassetto"/>
          <w:rFonts w:ascii="Arial" w:hAnsi="Arial" w:cs="Arial"/>
          <w:color w:val="000000" w:themeColor="text1"/>
          <w:u w:val="single"/>
        </w:rPr>
        <w:t xml:space="preserve">La privacy nelle pubbliche amministrazioni </w:t>
      </w:r>
      <w:r w:rsidR="00807BD7">
        <w:rPr>
          <w:rStyle w:val="Enfasigrassetto"/>
          <w:rFonts w:ascii="Arial" w:hAnsi="Arial" w:cs="Arial"/>
          <w:color w:val="000000" w:themeColor="text1"/>
          <w:u w:val="single"/>
        </w:rPr>
        <w:t>–</w:t>
      </w:r>
      <w:r w:rsidRPr="00013BA9">
        <w:rPr>
          <w:rStyle w:val="Enfasigrassetto"/>
          <w:rFonts w:ascii="Arial" w:hAnsi="Arial" w:cs="Arial"/>
          <w:color w:val="000000" w:themeColor="text1"/>
          <w:u w:val="single"/>
        </w:rPr>
        <w:t xml:space="preserve"> Relazione</w:t>
      </w:r>
      <w:r w:rsidR="00807BD7">
        <w:rPr>
          <w:rStyle w:val="Enfasigrassetto"/>
          <w:rFonts w:ascii="Arial" w:hAnsi="Arial" w:cs="Arial"/>
          <w:color w:val="000000" w:themeColor="text1"/>
          <w:u w:val="single"/>
        </w:rPr>
        <w:t xml:space="preserve"> Garante</w:t>
      </w:r>
      <w:r w:rsidRPr="00013BA9">
        <w:rPr>
          <w:rStyle w:val="Enfasigrassetto"/>
          <w:rFonts w:ascii="Arial" w:hAnsi="Arial" w:cs="Arial"/>
          <w:color w:val="000000" w:themeColor="text1"/>
          <w:u w:val="single"/>
        </w:rPr>
        <w:t xml:space="preserve"> 2003 - 28 aprile 2004</w:t>
      </w:r>
    </w:p>
    <w:p w:rsidR="00013BA9" w:rsidRPr="00013BA9" w:rsidRDefault="00013BA9" w:rsidP="00013BA9">
      <w:pPr>
        <w:pStyle w:val="NormaleWeb"/>
        <w:shd w:val="clear" w:color="auto" w:fill="FFFFFF"/>
        <w:spacing w:before="92" w:beforeAutospacing="0" w:after="92" w:afterAutospacing="0"/>
        <w:rPr>
          <w:rStyle w:val="Enfasigrassetto"/>
          <w:rFonts w:ascii="Arial" w:hAnsi="Arial" w:cs="Arial"/>
          <w:color w:val="292929"/>
          <w:sz w:val="20"/>
          <w:szCs w:val="20"/>
          <w:shd w:val="clear" w:color="auto" w:fill="FFFFFF"/>
        </w:rPr>
      </w:pPr>
      <w:r w:rsidRPr="00013BA9">
        <w:rPr>
          <w:rStyle w:val="Enfasigrassetto"/>
          <w:rFonts w:ascii="Arial" w:hAnsi="Arial" w:cs="Arial"/>
          <w:color w:val="292929"/>
          <w:sz w:val="20"/>
          <w:szCs w:val="20"/>
          <w:shd w:val="clear" w:color="auto" w:fill="FFFFFF"/>
        </w:rPr>
        <w:t>Attività fiscale e tributaria</w:t>
      </w:r>
    </w:p>
    <w:p w:rsidR="00013BA9" w:rsidRPr="00013BA9" w:rsidRDefault="00013BA9" w:rsidP="00013BA9">
      <w:pPr>
        <w:pStyle w:val="NormaleWeb"/>
        <w:shd w:val="clear" w:color="auto" w:fill="FFFFFF"/>
        <w:spacing w:before="92" w:beforeAutospacing="0" w:after="92" w:afterAutospacing="0" w:line="360" w:lineRule="auto"/>
        <w:jc w:val="both"/>
        <w:rPr>
          <w:rFonts w:ascii="Arial" w:hAnsi="Arial" w:cs="Arial"/>
          <w:color w:val="292929"/>
          <w:sz w:val="20"/>
          <w:szCs w:val="20"/>
        </w:rPr>
      </w:pPr>
      <w:r w:rsidRPr="00013BA9">
        <w:rPr>
          <w:rFonts w:ascii="Arial" w:hAnsi="Arial" w:cs="Arial"/>
          <w:color w:val="3E3F3E"/>
          <w:sz w:val="20"/>
          <w:szCs w:val="20"/>
          <w:shd w:val="clear" w:color="auto" w:fill="FAF9F6"/>
        </w:rPr>
        <w:t xml:space="preserve"> </w:t>
      </w:r>
      <w:r w:rsidRPr="00013BA9">
        <w:rPr>
          <w:rFonts w:ascii="Arial" w:hAnsi="Arial" w:cs="Arial"/>
          <w:color w:val="292929"/>
          <w:sz w:val="20"/>
          <w:szCs w:val="20"/>
        </w:rPr>
        <w:t xml:space="preserve">Nel settore in esame </w:t>
      </w:r>
      <w:proofErr w:type="gramStart"/>
      <w:r w:rsidRPr="00013BA9">
        <w:rPr>
          <w:rFonts w:ascii="Arial" w:hAnsi="Arial" w:cs="Arial"/>
          <w:color w:val="292929"/>
          <w:sz w:val="20"/>
          <w:szCs w:val="20"/>
        </w:rPr>
        <w:t>l´Autorità</w:t>
      </w:r>
      <w:proofErr w:type="gramEnd"/>
      <w:r w:rsidRPr="00013BA9">
        <w:rPr>
          <w:rFonts w:ascii="Arial" w:hAnsi="Arial" w:cs="Arial"/>
          <w:color w:val="292929"/>
          <w:sz w:val="20"/>
          <w:szCs w:val="20"/>
        </w:rPr>
        <w:t xml:space="preserve"> è intervenuta per valutare alcuni aspetti relativi ad attività realizzate dal Ministero dell´economia e delle finanze e da altri soggetti operanti in ambito fiscale (agenzie fiscali e concessionari della riscossione).</w:t>
      </w:r>
    </w:p>
    <w:p w:rsidR="00013BA9" w:rsidRPr="00013BA9" w:rsidRDefault="00013BA9" w:rsidP="00013BA9">
      <w:pPr>
        <w:shd w:val="clear" w:color="auto" w:fill="FFFFFF"/>
        <w:spacing w:before="92" w:after="92" w:line="360" w:lineRule="auto"/>
        <w:jc w:val="both"/>
        <w:rPr>
          <w:rFonts w:ascii="Arial" w:eastAsia="Times New Roman" w:hAnsi="Arial" w:cs="Arial"/>
          <w:color w:val="292929"/>
          <w:sz w:val="20"/>
          <w:szCs w:val="20"/>
          <w:lang w:eastAsia="it-IT"/>
        </w:rPr>
      </w:pPr>
      <w:proofErr w:type="gramStart"/>
      <w:r w:rsidRPr="00013BA9">
        <w:rPr>
          <w:rFonts w:ascii="Arial" w:eastAsia="Times New Roman" w:hAnsi="Arial" w:cs="Arial"/>
          <w:color w:val="292929"/>
          <w:sz w:val="20"/>
          <w:szCs w:val="20"/>
          <w:lang w:eastAsia="it-IT"/>
        </w:rPr>
        <w:t>In primo luogo</w:t>
      </w:r>
      <w:proofErr w:type="gramEnd"/>
      <w:r w:rsidRPr="00013BA9">
        <w:rPr>
          <w:rFonts w:ascii="Arial" w:eastAsia="Times New Roman" w:hAnsi="Arial" w:cs="Arial"/>
          <w:color w:val="292929"/>
          <w:sz w:val="20"/>
          <w:szCs w:val="20"/>
          <w:lang w:eastAsia="it-IT"/>
        </w:rPr>
        <w:t xml:space="preserve"> il Garante ha approfondito talune problematiche in tema di protezione dei dati personali connesse all´adozione, da parte dell´Agenzia delle entrate, di un </w:t>
      </w:r>
      <w:r w:rsidRPr="00013BA9">
        <w:rPr>
          <w:rFonts w:ascii="Arial" w:eastAsia="Times New Roman" w:hAnsi="Arial" w:cs="Arial"/>
          <w:i/>
          <w:iCs/>
          <w:color w:val="292929"/>
          <w:sz w:val="20"/>
          <w:szCs w:val="20"/>
          <w:lang w:eastAsia="it-IT"/>
        </w:rPr>
        <w:t>call-center</w:t>
      </w:r>
      <w:r w:rsidRPr="00013BA9">
        <w:rPr>
          <w:rFonts w:ascii="Arial" w:eastAsia="Times New Roman" w:hAnsi="Arial" w:cs="Arial"/>
          <w:color w:val="292929"/>
          <w:sz w:val="20"/>
          <w:szCs w:val="20"/>
          <w:lang w:eastAsia="it-IT"/>
        </w:rPr>
        <w:t> e di un servizio via web volti a snellire il rapporto con i contribuenti, con particolare riguardo alla fase di identificazione di questi ultimi ed a quella di accesso alle informazioni contenute nell´anagrafe tributaria tramite l´uso di un </w:t>
      </w:r>
      <w:r w:rsidRPr="00013BA9">
        <w:rPr>
          <w:rFonts w:ascii="Arial" w:eastAsia="Times New Roman" w:hAnsi="Arial" w:cs="Arial"/>
          <w:i/>
          <w:iCs/>
          <w:color w:val="292929"/>
          <w:sz w:val="20"/>
          <w:szCs w:val="20"/>
          <w:lang w:eastAsia="it-IT"/>
        </w:rPr>
        <w:t>pin</w:t>
      </w:r>
      <w:r w:rsidRPr="00013BA9">
        <w:rPr>
          <w:rFonts w:ascii="Arial" w:eastAsia="Times New Roman" w:hAnsi="Arial" w:cs="Arial"/>
          <w:color w:val="292929"/>
          <w:sz w:val="20"/>
          <w:szCs w:val="20"/>
          <w:lang w:eastAsia="it-IT"/>
        </w:rPr>
        <w:t> e di una </w:t>
      </w:r>
      <w:r w:rsidRPr="00013BA9">
        <w:rPr>
          <w:rFonts w:ascii="Arial" w:eastAsia="Times New Roman" w:hAnsi="Arial" w:cs="Arial"/>
          <w:i/>
          <w:iCs/>
          <w:color w:val="292929"/>
          <w:sz w:val="20"/>
          <w:szCs w:val="20"/>
          <w:lang w:eastAsia="it-IT"/>
        </w:rPr>
        <w:t>password</w:t>
      </w:r>
      <w:r w:rsidRPr="00013BA9">
        <w:rPr>
          <w:rFonts w:ascii="Arial" w:eastAsia="Times New Roman" w:hAnsi="Arial" w:cs="Arial"/>
          <w:color w:val="292929"/>
          <w:sz w:val="20"/>
          <w:szCs w:val="20"/>
          <w:lang w:eastAsia="it-IT"/>
        </w:rPr>
        <w:t>.</w:t>
      </w:r>
    </w:p>
    <w:p w:rsidR="00013BA9" w:rsidRPr="00013BA9" w:rsidRDefault="00013BA9" w:rsidP="00013BA9">
      <w:pPr>
        <w:shd w:val="clear" w:color="auto" w:fill="FFFFFF"/>
        <w:spacing w:before="92" w:after="92" w:line="360" w:lineRule="auto"/>
        <w:jc w:val="both"/>
        <w:rPr>
          <w:rFonts w:ascii="Arial" w:eastAsia="Times New Roman" w:hAnsi="Arial" w:cs="Arial"/>
          <w:color w:val="292929"/>
          <w:sz w:val="20"/>
          <w:szCs w:val="20"/>
          <w:lang w:eastAsia="it-IT"/>
        </w:rPr>
      </w:pPr>
      <w:r w:rsidRPr="00013BA9">
        <w:rPr>
          <w:rFonts w:ascii="Arial" w:eastAsia="Times New Roman" w:hAnsi="Arial" w:cs="Arial"/>
          <w:color w:val="292929"/>
          <w:sz w:val="20"/>
          <w:szCs w:val="20"/>
          <w:lang w:eastAsia="it-IT"/>
        </w:rPr>
        <w:t xml:space="preserve">Si è poi verificata la sussistenza dei presupposti di liceità per la comunicazione del codice fiscale, da parte </w:t>
      </w:r>
      <w:proofErr w:type="gramStart"/>
      <w:r w:rsidRPr="00013BA9">
        <w:rPr>
          <w:rFonts w:ascii="Arial" w:eastAsia="Times New Roman" w:hAnsi="Arial" w:cs="Arial"/>
          <w:color w:val="292929"/>
          <w:sz w:val="20"/>
          <w:szCs w:val="20"/>
          <w:lang w:eastAsia="it-IT"/>
        </w:rPr>
        <w:t>dell´Agenzia</w:t>
      </w:r>
      <w:proofErr w:type="gramEnd"/>
      <w:r w:rsidRPr="00013BA9">
        <w:rPr>
          <w:rFonts w:ascii="Arial" w:eastAsia="Times New Roman" w:hAnsi="Arial" w:cs="Arial"/>
          <w:color w:val="292929"/>
          <w:sz w:val="20"/>
          <w:szCs w:val="20"/>
          <w:lang w:eastAsia="it-IT"/>
        </w:rPr>
        <w:t xml:space="preserve"> delle entrate, ad amministrazioni pubbliche e gestori di pubblici servizi che ne abbiano fatto richiesta, nonché per la comunicazione degli elenchi dei contribuenti da parte dell´amministrazione finanziaria ai comuni e per la pubblicazione delle controversie dei contribuenti stessi da parte delle commissioni tributarie.</w:t>
      </w:r>
    </w:p>
    <w:tbl>
      <w:tblPr>
        <w:tblW w:w="101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7"/>
      </w:tblGrid>
      <w:tr w:rsidR="00013BA9" w:rsidRPr="00F65A0D" w:rsidTr="002058E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38" w:type="dxa"/>
            </w:tcMar>
            <w:hideMark/>
          </w:tcPr>
          <w:p w:rsidR="00096B90" w:rsidRDefault="00013BA9" w:rsidP="002058E2">
            <w:pPr>
              <w:pStyle w:val="NormaleWeb"/>
              <w:shd w:val="clear" w:color="auto" w:fill="FFFFFF"/>
              <w:spacing w:before="92" w:beforeAutospacing="0" w:after="92" w:afterAutospacing="0" w:line="360" w:lineRule="auto"/>
              <w:jc w:val="both"/>
              <w:rPr>
                <w:rFonts w:ascii="Arial" w:hAnsi="Arial" w:cs="Arial"/>
                <w:color w:val="292929"/>
                <w:sz w:val="20"/>
                <w:szCs w:val="20"/>
              </w:rPr>
            </w:pPr>
            <w:proofErr w:type="gramStart"/>
            <w:r w:rsidRPr="00013BA9">
              <w:rPr>
                <w:rFonts w:ascii="Arial" w:hAnsi="Arial" w:cs="Arial"/>
                <w:color w:val="292929"/>
                <w:sz w:val="20"/>
                <w:szCs w:val="20"/>
              </w:rPr>
              <w:t>L´Autorità</w:t>
            </w:r>
            <w:proofErr w:type="gramEnd"/>
            <w:r w:rsidRPr="00013BA9">
              <w:rPr>
                <w:rFonts w:ascii="Arial" w:hAnsi="Arial" w:cs="Arial"/>
                <w:color w:val="292929"/>
                <w:sz w:val="20"/>
                <w:szCs w:val="20"/>
              </w:rPr>
              <w:t>, a seguito di numerosi quesiti, segnalazioni e ricorsi, ha esaminato anche la prassi delle società concessionarie del servizio per la riscossione dei tributi di chiedere, senza il consenso del contribuente moroso, informazioni personali a terzi per ottenerne una dichiarazione stragiudiziale che attesti la presenza di crediti su cui rivalers</w:t>
            </w:r>
            <w:r>
              <w:rPr>
                <w:rFonts w:ascii="Arial" w:hAnsi="Arial" w:cs="Arial"/>
                <w:color w:val="292929"/>
                <w:sz w:val="20"/>
                <w:szCs w:val="20"/>
              </w:rPr>
              <w:t>i.</w:t>
            </w:r>
          </w:p>
          <w:p w:rsidR="00096B90" w:rsidRPr="002058E2" w:rsidRDefault="00096B90" w:rsidP="002058E2">
            <w:pPr>
              <w:pStyle w:val="NormaleWeb"/>
              <w:shd w:val="clear" w:color="auto" w:fill="FFFFFF"/>
              <w:spacing w:before="92" w:beforeAutospacing="0" w:after="92" w:afterAutospacing="0" w:line="360" w:lineRule="auto"/>
              <w:jc w:val="both"/>
              <w:rPr>
                <w:rFonts w:ascii="Arial" w:hAnsi="Arial" w:cs="Arial"/>
                <w:color w:val="292929"/>
                <w:sz w:val="20"/>
                <w:szCs w:val="20"/>
              </w:rPr>
            </w:pPr>
            <w:r w:rsidRPr="002058E2">
              <w:rPr>
                <w:rFonts w:ascii="Arial" w:hAnsi="Arial" w:cs="Arial"/>
                <w:color w:val="292929"/>
                <w:sz w:val="20"/>
                <w:szCs w:val="20"/>
              </w:rPr>
              <w:t xml:space="preserve"> Tale attività, che comporta la comunicazione a terzi di informazioni concernenti la situazione debitoria del soggetto ritenuto moroso, è stata giudicata illecita in quanto nessuna previsione legislativa o regolamentare attribuisce alla società concessionaria il potere di effettuare questo tipo di trattamento senza il consenso del contribuente interessato: la procedura è risultata disciplinata, infatti, solo da risoluzioni </w:t>
            </w:r>
            <w:proofErr w:type="gramStart"/>
            <w:r w:rsidRPr="002058E2">
              <w:rPr>
                <w:rFonts w:ascii="Arial" w:hAnsi="Arial" w:cs="Arial"/>
                <w:color w:val="292929"/>
                <w:sz w:val="20"/>
                <w:szCs w:val="20"/>
              </w:rPr>
              <w:t>dell´Agenzia</w:t>
            </w:r>
            <w:proofErr w:type="gramEnd"/>
            <w:r w:rsidRPr="002058E2">
              <w:rPr>
                <w:rFonts w:ascii="Arial" w:hAnsi="Arial" w:cs="Arial"/>
                <w:color w:val="292929"/>
                <w:sz w:val="20"/>
                <w:szCs w:val="20"/>
              </w:rPr>
              <w:t xml:space="preserve"> delle entrate e da mere circolari ministeriali.</w:t>
            </w:r>
          </w:p>
          <w:p w:rsidR="00096B90" w:rsidRPr="002058E2" w:rsidRDefault="00096B90" w:rsidP="002058E2">
            <w:pPr>
              <w:pStyle w:val="NormaleWeb"/>
              <w:shd w:val="clear" w:color="auto" w:fill="FFFFFF"/>
              <w:spacing w:before="92" w:beforeAutospacing="0" w:after="92" w:afterAutospacing="0" w:line="360" w:lineRule="auto"/>
              <w:jc w:val="both"/>
              <w:rPr>
                <w:rFonts w:ascii="Arial" w:hAnsi="Arial" w:cs="Arial"/>
                <w:color w:val="292929"/>
                <w:sz w:val="20"/>
                <w:szCs w:val="20"/>
              </w:rPr>
            </w:pPr>
            <w:r w:rsidRPr="002058E2">
              <w:rPr>
                <w:rFonts w:ascii="Arial" w:hAnsi="Arial" w:cs="Arial"/>
                <w:color w:val="292929"/>
                <w:sz w:val="20"/>
                <w:szCs w:val="20"/>
              </w:rPr>
              <w:t xml:space="preserve">La procedura è stata inoltre ritenuta in contrasto con il principio di non eccedenza (art. 11 </w:t>
            </w:r>
            <w:proofErr w:type="spellStart"/>
            <w:r w:rsidRPr="002058E2">
              <w:rPr>
                <w:rFonts w:ascii="Arial" w:hAnsi="Arial" w:cs="Arial"/>
                <w:color w:val="292929"/>
                <w:sz w:val="20"/>
                <w:szCs w:val="20"/>
              </w:rPr>
              <w:t>d.lg.</w:t>
            </w:r>
            <w:proofErr w:type="spellEnd"/>
            <w:r w:rsidRPr="002058E2">
              <w:rPr>
                <w:rFonts w:ascii="Arial" w:hAnsi="Arial" w:cs="Arial"/>
                <w:color w:val="292929"/>
                <w:sz w:val="20"/>
                <w:szCs w:val="20"/>
              </w:rPr>
              <w:t xml:space="preserve"> n. 196/2003), in quanto sproporzionata rispetto alla finalità di recupero del credito che può essere comunque perseguita con altri strumenti.</w:t>
            </w:r>
          </w:p>
          <w:p w:rsidR="00096B90" w:rsidRPr="002058E2" w:rsidRDefault="00096B90" w:rsidP="002058E2">
            <w:pPr>
              <w:pStyle w:val="NormaleWeb"/>
              <w:shd w:val="clear" w:color="auto" w:fill="FFFFFF"/>
              <w:spacing w:before="92" w:beforeAutospacing="0" w:after="92" w:afterAutospacing="0" w:line="360" w:lineRule="auto"/>
              <w:jc w:val="both"/>
              <w:rPr>
                <w:rFonts w:ascii="Arial" w:hAnsi="Arial" w:cs="Arial"/>
                <w:color w:val="292929"/>
                <w:sz w:val="20"/>
                <w:szCs w:val="20"/>
              </w:rPr>
            </w:pPr>
            <w:r w:rsidRPr="002058E2">
              <w:rPr>
                <w:rFonts w:ascii="Arial" w:hAnsi="Arial" w:cs="Arial"/>
                <w:color w:val="292929"/>
                <w:sz w:val="20"/>
                <w:szCs w:val="20"/>
              </w:rPr>
              <w:t xml:space="preserve">In alcuni casi esaminati a seguito di ricorso il Garante ha quindi disposto il blocco del trattamento illecito dei dati </w:t>
            </w:r>
            <w:r w:rsidRPr="002058E2">
              <w:rPr>
                <w:rFonts w:ascii="Arial" w:hAnsi="Arial" w:cs="Arial"/>
                <w:color w:val="292929"/>
                <w:sz w:val="20"/>
                <w:szCs w:val="20"/>
              </w:rPr>
              <w:lastRenderedPageBreak/>
              <w:t>di un contribuente da parte delle società concessionarie, che hanno dovuto sospendere l´utilizzo delle informazioni detenute, limitandosi solo a conservarle (</w:t>
            </w:r>
            <w:hyperlink r:id="rId8" w:tgtFrame="_blank" w:history="1">
              <w:r w:rsidRPr="00075A74">
                <w:rPr>
                  <w:rStyle w:val="Collegamentoipertestuale"/>
                  <w:rFonts w:ascii="Arial" w:hAnsi="Arial" w:cs="Arial"/>
                  <w:b/>
                  <w:bCs/>
                  <w:i/>
                  <w:iCs/>
                  <w:color w:val="000000" w:themeColor="text1"/>
                  <w:sz w:val="20"/>
                  <w:szCs w:val="20"/>
                  <w:u w:val="none"/>
                </w:rPr>
                <w:t>Newsletter 22 febbraio 2004</w:t>
              </w:r>
            </w:hyperlink>
            <w:r w:rsidRPr="002058E2">
              <w:rPr>
                <w:rFonts w:ascii="Arial" w:hAnsi="Arial" w:cs="Arial"/>
                <w:color w:val="292929"/>
                <w:sz w:val="20"/>
                <w:szCs w:val="20"/>
              </w:rPr>
              <w:t>).</w:t>
            </w:r>
          </w:p>
          <w:p w:rsidR="00075A74" w:rsidRDefault="00096B90" w:rsidP="00075A74">
            <w:pPr>
              <w:pStyle w:val="NormaleWeb"/>
              <w:shd w:val="clear" w:color="auto" w:fill="FFFFFF"/>
              <w:spacing w:before="92" w:beforeAutospacing="0" w:after="92" w:afterAutospacing="0" w:line="360" w:lineRule="auto"/>
              <w:jc w:val="both"/>
              <w:rPr>
                <w:rFonts w:ascii="Arial" w:hAnsi="Arial" w:cs="Arial"/>
                <w:color w:val="292929"/>
                <w:sz w:val="20"/>
                <w:szCs w:val="20"/>
              </w:rPr>
            </w:pPr>
            <w:proofErr w:type="gramStart"/>
            <w:r w:rsidRPr="00075A74">
              <w:rPr>
                <w:rFonts w:ascii="Arial" w:hAnsi="Arial" w:cs="Arial"/>
                <w:color w:val="292929"/>
                <w:sz w:val="20"/>
                <w:szCs w:val="20"/>
              </w:rPr>
              <w:t>L´Agenzia</w:t>
            </w:r>
            <w:proofErr w:type="gramEnd"/>
            <w:r w:rsidRPr="00075A74">
              <w:rPr>
                <w:rFonts w:ascii="Arial" w:hAnsi="Arial" w:cs="Arial"/>
                <w:color w:val="292929"/>
                <w:sz w:val="20"/>
                <w:szCs w:val="20"/>
              </w:rPr>
              <w:t xml:space="preserve"> ha poi emanato un´apposita risoluzione, volta a sollecitare i concessionari della riscossione ad astenersi da questa prassi (Risoluzione 35/E del 12 marzo 2004); a sua volta, l´Inps, con nota del 30 marzo 2004, prendendo atto di quanto stabilito dal Garante, ha deciso di sospendere l´attività di rilascio delle dichiarazioni stragiudiziali ai concessionari, in attesa di ulteriori delucidazioni.</w:t>
            </w:r>
          </w:p>
          <w:p w:rsidR="00075A74" w:rsidRDefault="00075A74" w:rsidP="00075A74">
            <w:pPr>
              <w:pStyle w:val="NormaleWeb"/>
              <w:shd w:val="clear" w:color="auto" w:fill="FFFFFF"/>
              <w:spacing w:before="92" w:beforeAutospacing="0" w:after="92" w:afterAutospacing="0" w:line="360" w:lineRule="auto"/>
              <w:jc w:val="both"/>
              <w:rPr>
                <w:rFonts w:ascii="Arial" w:hAnsi="Arial" w:cs="Arial"/>
                <w:color w:val="292929"/>
                <w:sz w:val="20"/>
                <w:szCs w:val="20"/>
              </w:rPr>
            </w:pPr>
          </w:p>
          <w:p w:rsidR="00075A74" w:rsidRDefault="00075A74" w:rsidP="00075A74">
            <w:pPr>
              <w:pStyle w:val="NormaleWeb"/>
              <w:shd w:val="clear" w:color="auto" w:fill="FFFFFF"/>
              <w:spacing w:before="92" w:beforeAutospacing="0" w:after="92" w:afterAutospacing="0"/>
              <w:rPr>
                <w:rFonts w:ascii="Helvetica" w:hAnsi="Helvetica" w:cs="Helvetica"/>
                <w:color w:val="292929"/>
                <w:sz w:val="22"/>
                <w:szCs w:val="22"/>
                <w:u w:val="single"/>
              </w:rPr>
            </w:pPr>
            <w:r w:rsidRPr="00075A74">
              <w:rPr>
                <w:rFonts w:ascii="Arial" w:hAnsi="Arial" w:cs="Arial"/>
                <w:b/>
                <w:bCs/>
                <w:color w:val="333333"/>
                <w:spacing w:val="-9"/>
                <w:sz w:val="22"/>
                <w:szCs w:val="22"/>
                <w:u w:val="single"/>
                <w:shd w:val="clear" w:color="auto" w:fill="FFFFFF"/>
              </w:rPr>
              <w:t xml:space="preserve"> Dati sensibili contribuenti morosi: arriva il chiarimento del garante della privacy</w:t>
            </w:r>
            <w:r w:rsidRPr="00075A74">
              <w:rPr>
                <w:rFonts w:ascii="Helvetica" w:hAnsi="Helvetica" w:cs="Helvetica"/>
                <w:color w:val="292929"/>
                <w:sz w:val="22"/>
                <w:szCs w:val="22"/>
                <w:u w:val="single"/>
              </w:rPr>
              <w:t xml:space="preserve"> </w:t>
            </w:r>
          </w:p>
          <w:p w:rsidR="00075A74" w:rsidRPr="00075A74" w:rsidRDefault="00075A74" w:rsidP="00075A74">
            <w:pPr>
              <w:pStyle w:val="NormaleWeb"/>
              <w:shd w:val="clear" w:color="auto" w:fill="FFFFFF"/>
              <w:spacing w:before="92" w:beforeAutospacing="0" w:after="92" w:afterAutospacing="0"/>
              <w:rPr>
                <w:rFonts w:ascii="Helvetica" w:hAnsi="Helvetica" w:cs="Helvetica"/>
                <w:color w:val="292929"/>
                <w:sz w:val="22"/>
                <w:szCs w:val="22"/>
                <w:u w:val="single"/>
              </w:rPr>
            </w:pPr>
          </w:p>
          <w:p w:rsidR="00096B90" w:rsidRPr="00F65A0D" w:rsidRDefault="00075A74" w:rsidP="00C17CB3">
            <w:pPr>
              <w:pStyle w:val="NormaleWeb"/>
              <w:shd w:val="clear" w:color="auto" w:fill="FFFFFF"/>
              <w:spacing w:before="0" w:beforeAutospacing="0" w:line="360" w:lineRule="auto"/>
              <w:jc w:val="both"/>
              <w:rPr>
                <w:rFonts w:ascii="Helvetica" w:hAnsi="Helvetica" w:cs="Helvetica"/>
                <w:color w:val="292929"/>
                <w:sz w:val="12"/>
                <w:szCs w:val="12"/>
              </w:rPr>
            </w:pPr>
            <w:r w:rsidRPr="00075A74">
              <w:rPr>
                <w:rFonts w:ascii="Arial" w:hAnsi="Arial" w:cs="Arial"/>
                <w:color w:val="333333"/>
                <w:sz w:val="20"/>
                <w:szCs w:val="20"/>
              </w:rPr>
              <w:t>Non possono essere pubblicati sul sito del Comune dati personali e sensibili che riguardano i nomi di coloro che non hanno provveduto al pagamento ordinario delle </w:t>
            </w:r>
            <w:r w:rsidRPr="00075A74">
              <w:rPr>
                <w:rStyle w:val="Enfasigrassetto"/>
                <w:rFonts w:ascii="Arial" w:hAnsi="Arial" w:cs="Arial"/>
                <w:color w:val="333333"/>
                <w:sz w:val="20"/>
                <w:szCs w:val="20"/>
              </w:rPr>
              <w:t>tasse</w:t>
            </w:r>
            <w:r w:rsidRPr="00075A74">
              <w:rPr>
                <w:rFonts w:ascii="Arial" w:hAnsi="Arial" w:cs="Arial"/>
                <w:color w:val="333333"/>
                <w:sz w:val="20"/>
                <w:szCs w:val="20"/>
              </w:rPr>
              <w:t>. Nessun obbligo in materia esiste da parte della legislazione statale e non può essere introdotto con un opportuno regolamento da parte del comune. Questo è quanto ha dichiarato il </w:t>
            </w:r>
            <w:r w:rsidRPr="00075A74">
              <w:rPr>
                <w:rStyle w:val="Enfasigrassetto"/>
                <w:rFonts w:ascii="Arial" w:hAnsi="Arial" w:cs="Arial"/>
                <w:color w:val="333333"/>
                <w:sz w:val="20"/>
                <w:szCs w:val="20"/>
              </w:rPr>
              <w:t>garante della privacy</w:t>
            </w:r>
            <w:r w:rsidRPr="00075A74">
              <w:rPr>
                <w:rFonts w:ascii="Arial" w:hAnsi="Arial" w:cs="Arial"/>
                <w:color w:val="333333"/>
                <w:sz w:val="20"/>
                <w:szCs w:val="20"/>
              </w:rPr>
              <w:t>, che con un </w:t>
            </w:r>
            <w:r w:rsidRPr="00075A74">
              <w:rPr>
                <w:rStyle w:val="Enfasigrassetto"/>
                <w:rFonts w:ascii="Arial" w:hAnsi="Arial" w:cs="Arial"/>
                <w:color w:val="333333"/>
                <w:sz w:val="20"/>
                <w:szCs w:val="20"/>
              </w:rPr>
              <w:t>comunicato stampa</w:t>
            </w:r>
            <w:r w:rsidRPr="00075A74">
              <w:rPr>
                <w:rFonts w:ascii="Arial" w:hAnsi="Arial" w:cs="Arial"/>
                <w:color w:val="333333"/>
                <w:sz w:val="20"/>
                <w:szCs w:val="20"/>
              </w:rPr>
              <w:t> è intervenuto in questi giorni in un caso concreto: un ente locale aveva intenzione di mettere on line tutti i nomi dei cittadini morosi. Stando a quanto stabilito dal garante della privacy questa pratica è inattuabile perché andrebbe a violare il</w:t>
            </w:r>
            <w:r w:rsidRPr="00075A74">
              <w:rPr>
                <w:rStyle w:val="Enfasigrassetto"/>
                <w:rFonts w:ascii="Arial" w:hAnsi="Arial" w:cs="Arial"/>
                <w:color w:val="333333"/>
                <w:sz w:val="20"/>
                <w:szCs w:val="20"/>
              </w:rPr>
              <w:t> principio di legalità</w:t>
            </w:r>
            <w:r w:rsidRPr="00075A74">
              <w:rPr>
                <w:rFonts w:ascii="Arial" w:hAnsi="Arial" w:cs="Arial"/>
                <w:color w:val="333333"/>
                <w:sz w:val="20"/>
                <w:szCs w:val="20"/>
              </w:rPr>
              <w:t> sotto vari punti di vista.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 w:rsidRPr="00075A74">
              <w:rPr>
                <w:rFonts w:ascii="Arial" w:hAnsi="Arial" w:cs="Arial"/>
                <w:color w:val="333333"/>
                <w:sz w:val="20"/>
                <w:szCs w:val="20"/>
              </w:rPr>
              <w:t>In primo luogo,</w:t>
            </w:r>
            <w:hyperlink r:id="rId9" w:history="1">
              <w:r w:rsidRPr="00075A74">
                <w:rPr>
                  <w:rStyle w:val="Collegamentoipertestuale"/>
                  <w:rFonts w:ascii="Arial" w:hAnsi="Arial" w:cs="Arial"/>
                  <w:color w:val="1955A5"/>
                  <w:sz w:val="20"/>
                  <w:szCs w:val="20"/>
                  <w:u w:val="none"/>
                </w:rPr>
                <w:t> </w:t>
              </w:r>
              <w:r w:rsidRPr="00075A74">
                <w:rPr>
                  <w:rStyle w:val="Collegamentoipertestuale"/>
                  <w:rFonts w:ascii="Arial" w:hAnsi="Arial" w:cs="Arial"/>
                  <w:i/>
                  <w:color w:val="000000" w:themeColor="text1"/>
                  <w:sz w:val="20"/>
                  <w:szCs w:val="20"/>
                </w:rPr>
                <w:t>il Comune non può</w:t>
              </w:r>
            </w:hyperlink>
            <w:r w:rsidRPr="00075A74">
              <w:rPr>
                <w:rFonts w:ascii="Arial" w:hAnsi="Arial" w:cs="Arial"/>
                <w:color w:val="333333"/>
                <w:sz w:val="20"/>
                <w:szCs w:val="20"/>
              </w:rPr>
              <w:t> con un proprio regolamento andare ad intervenire su questo tema inserendo una </w:t>
            </w:r>
            <w:proofErr w:type="spellStart"/>
            <w:r w:rsidRPr="00075A74">
              <w:rPr>
                <w:rStyle w:val="Enfasigrassetto"/>
                <w:rFonts w:ascii="Arial" w:hAnsi="Arial" w:cs="Arial"/>
                <w:color w:val="333333"/>
                <w:sz w:val="20"/>
                <w:szCs w:val="20"/>
              </w:rPr>
              <w:t>black</w:t>
            </w:r>
            <w:proofErr w:type="spellEnd"/>
            <w:r w:rsidRPr="00075A74">
              <w:rPr>
                <w:rStyle w:val="Enfasigrassetto"/>
                <w:rFonts w:ascii="Arial" w:hAnsi="Arial" w:cs="Arial"/>
                <w:color w:val="333333"/>
                <w:sz w:val="20"/>
                <w:szCs w:val="20"/>
              </w:rPr>
              <w:t xml:space="preserve"> list on line</w:t>
            </w:r>
            <w:r w:rsidRPr="00075A74">
              <w:rPr>
                <w:rFonts w:ascii="Arial" w:hAnsi="Arial" w:cs="Arial"/>
                <w:color w:val="333333"/>
                <w:sz w:val="20"/>
                <w:szCs w:val="20"/>
              </w:rPr>
              <w:t xml:space="preserve"> dei cittadini morosi, poiché questa materia rientra nella legislazione ordinaria statale. </w:t>
            </w:r>
            <w:proofErr w:type="gramStart"/>
            <w:r w:rsidRPr="00075A74">
              <w:rPr>
                <w:rFonts w:ascii="Arial" w:hAnsi="Arial" w:cs="Arial"/>
                <w:color w:val="333333"/>
                <w:sz w:val="20"/>
                <w:szCs w:val="20"/>
              </w:rPr>
              <w:t>Inoltre</w:t>
            </w:r>
            <w:proofErr w:type="gramEnd"/>
            <w:r w:rsidRPr="00075A74">
              <w:rPr>
                <w:rFonts w:ascii="Arial" w:hAnsi="Arial" w:cs="Arial"/>
                <w:color w:val="333333"/>
                <w:sz w:val="20"/>
                <w:szCs w:val="20"/>
              </w:rPr>
              <w:t xml:space="preserve"> questa procedura andrebbe a violare anche la normativa sulla </w:t>
            </w:r>
            <w:r w:rsidRPr="00075A74">
              <w:rPr>
                <w:rStyle w:val="Enfasigrassetto"/>
                <w:rFonts w:ascii="Arial" w:hAnsi="Arial" w:cs="Arial"/>
                <w:color w:val="333333"/>
                <w:sz w:val="20"/>
                <w:szCs w:val="20"/>
              </w:rPr>
              <w:t>trasparenza</w:t>
            </w:r>
            <w:r w:rsidRPr="00075A74">
              <w:rPr>
                <w:rFonts w:ascii="Arial" w:hAnsi="Arial" w:cs="Arial"/>
                <w:color w:val="333333"/>
                <w:sz w:val="20"/>
                <w:szCs w:val="20"/>
              </w:rPr>
              <w:t> che vieta la pubblicazione di questi dati sensibili sui siti web istituzionali della pubblica amministrazione.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075A74">
              <w:rPr>
                <w:rFonts w:ascii="Arial" w:hAnsi="Arial" w:cs="Arial"/>
                <w:color w:val="333333"/>
                <w:sz w:val="20"/>
                <w:szCs w:val="20"/>
              </w:rPr>
              <w:t>A nulla sono servite quindi le motivazioni portate avanti dal Comune a proprio sostegno, che aveva intenzione di introdurre questa nuova sanzione per evitare il ritardo nei </w:t>
            </w:r>
            <w:hyperlink r:id="rId10" w:history="1">
              <w:r w:rsidRPr="007D08F0">
                <w:rPr>
                  <w:rStyle w:val="Collegamentoipertestuale"/>
                  <w:rFonts w:ascii="Arial" w:hAnsi="Arial" w:cs="Arial"/>
                  <w:b/>
                  <w:color w:val="auto"/>
                  <w:sz w:val="20"/>
                  <w:szCs w:val="20"/>
                  <w:u w:val="none"/>
                </w:rPr>
                <w:t>pagamenti dei tributi</w:t>
              </w:r>
            </w:hyperlink>
            <w:r w:rsidRPr="00075A74">
              <w:rPr>
                <w:rFonts w:ascii="Arial" w:hAnsi="Arial" w:cs="Arial"/>
                <w:color w:val="333333"/>
                <w:sz w:val="20"/>
                <w:szCs w:val="20"/>
              </w:rPr>
              <w:t> ed aumentare il senso civico dei propri cittadini. Nulla di tutto questo, visto che la legge prevede già dei criteri con cui la pubblica amministrazione può andarsi a rivalere sui </w:t>
            </w:r>
            <w:r w:rsidRPr="00075A74">
              <w:rPr>
                <w:rStyle w:val="Enfasigrassetto"/>
                <w:rFonts w:ascii="Arial" w:hAnsi="Arial" w:cs="Arial"/>
                <w:color w:val="333333"/>
                <w:sz w:val="20"/>
                <w:szCs w:val="20"/>
              </w:rPr>
              <w:t>cittadini morosi</w:t>
            </w:r>
            <w:r w:rsidRPr="00075A74">
              <w:rPr>
                <w:rFonts w:ascii="Arial" w:hAnsi="Arial" w:cs="Arial"/>
                <w:color w:val="333333"/>
                <w:sz w:val="20"/>
                <w:szCs w:val="20"/>
              </w:rPr>
              <w:t>, come sanzioni amministrative e interessi di mora.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C17CB3">
              <w:rPr>
                <w:rFonts w:ascii="Arial" w:hAnsi="Arial" w:cs="Arial"/>
                <w:i/>
                <w:color w:val="333333"/>
                <w:sz w:val="20"/>
                <w:szCs w:val="20"/>
                <w:u w:val="single"/>
              </w:rPr>
              <w:t>In virtù di queste ragioni il garante della privacy ha ritenuto che la diffusione on line dei morosi sarebbe stata solo uno </w:t>
            </w:r>
            <w:r w:rsidRPr="00C17CB3">
              <w:rPr>
                <w:rStyle w:val="Enfasigrassetto"/>
                <w:rFonts w:ascii="Arial" w:hAnsi="Arial" w:cs="Arial"/>
                <w:i/>
                <w:color w:val="333333"/>
                <w:sz w:val="20"/>
                <w:szCs w:val="20"/>
                <w:u w:val="single"/>
              </w:rPr>
              <w:t>strumento vessatorio</w:t>
            </w:r>
            <w:r w:rsidRPr="00C17CB3">
              <w:rPr>
                <w:rFonts w:ascii="Arial" w:hAnsi="Arial" w:cs="Arial"/>
                <w:i/>
                <w:color w:val="333333"/>
                <w:sz w:val="20"/>
                <w:szCs w:val="20"/>
                <w:u w:val="single"/>
              </w:rPr>
              <w:t> che avrebbe potuto andare a creare gravi danni e disagi lesivi della dignità della persona umana.</w:t>
            </w:r>
            <w:r w:rsidRPr="00075A7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</w:tbl>
    <w:p w:rsidR="007D08F0" w:rsidRDefault="007D08F0" w:rsidP="008332E5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C24385" w:rsidRDefault="00C17CB3" w:rsidP="008332E5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sz w:val="20"/>
          <w:szCs w:val="20"/>
          <w:u w:val="single"/>
        </w:rPr>
        <w:t>IN PARTICOLARE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SULL’INGIUNZIONE FISCALE</w:t>
      </w:r>
      <w:r w:rsidR="00C24385">
        <w:rPr>
          <w:rFonts w:ascii="Arial" w:hAnsi="Arial" w:cs="Arial"/>
          <w:b/>
          <w:sz w:val="20"/>
          <w:szCs w:val="20"/>
          <w:u w:val="single"/>
        </w:rPr>
        <w:t>.</w:t>
      </w:r>
    </w:p>
    <w:p w:rsidR="00524CAE" w:rsidRDefault="00994111" w:rsidP="002241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111">
        <w:rPr>
          <w:rFonts w:ascii="Arial" w:hAnsi="Arial" w:cs="Arial"/>
          <w:sz w:val="20"/>
          <w:szCs w:val="20"/>
        </w:rPr>
        <w:t>Com’è</w:t>
      </w:r>
      <w:r>
        <w:rPr>
          <w:rFonts w:ascii="Arial" w:hAnsi="Arial" w:cs="Arial"/>
          <w:sz w:val="20"/>
          <w:szCs w:val="20"/>
        </w:rPr>
        <w:t xml:space="preserve"> noto da Luglio 2017 Equitalia è stata sostituita da Agenzia delle Entrate – riscossione con funzioni immutate se non potenziate.</w:t>
      </w:r>
      <w:r w:rsidR="00524C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Comuni, come gli altri enti locali e territoriali (Regioni), possono scegliere se affidare la riscossione delle proprie entrate al nuovo ente oppure provvedere autonomamente tramite propri uffici o società delegate.</w:t>
      </w:r>
      <w:r w:rsidR="00524C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Nel primo </w:t>
      </w:r>
      <w:r w:rsidR="00857BCA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aso</w:t>
      </w:r>
      <w:r w:rsidR="004A302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857BCA">
        <w:rPr>
          <w:rFonts w:ascii="Arial" w:hAnsi="Arial" w:cs="Arial"/>
          <w:sz w:val="20"/>
          <w:szCs w:val="20"/>
        </w:rPr>
        <w:t>l’ente locale potrebbe riscuotere una multa n</w:t>
      </w:r>
      <w:r w:rsidR="00A32233">
        <w:rPr>
          <w:rFonts w:ascii="Arial" w:hAnsi="Arial" w:cs="Arial"/>
          <w:sz w:val="20"/>
          <w:szCs w:val="20"/>
        </w:rPr>
        <w:t xml:space="preserve">on pagata tramite la cd “iscrizione a ruolo” con emissione di una cartella esattoriale dell’Agenzia delle entrate – riscossione, nel secondo, la stessa multa la riscuoterebbe con un atto diverso, </w:t>
      </w:r>
      <w:r w:rsidR="00A32233" w:rsidRPr="00A32233">
        <w:rPr>
          <w:rFonts w:ascii="Arial" w:hAnsi="Arial" w:cs="Arial"/>
          <w:i/>
          <w:sz w:val="20"/>
          <w:szCs w:val="20"/>
          <w:u w:val="single"/>
        </w:rPr>
        <w:t>l’ingiunzione fiscale</w:t>
      </w:r>
      <w:r w:rsidR="00A32233">
        <w:rPr>
          <w:rFonts w:ascii="Arial" w:hAnsi="Arial" w:cs="Arial"/>
          <w:sz w:val="20"/>
          <w:szCs w:val="20"/>
        </w:rPr>
        <w:t xml:space="preserve">, emessa dai propri uffici o da quelli di una società </w:t>
      </w:r>
      <w:proofErr w:type="gramStart"/>
      <w:r w:rsidR="00A32233">
        <w:rPr>
          <w:rFonts w:ascii="Arial" w:hAnsi="Arial" w:cs="Arial"/>
          <w:sz w:val="20"/>
          <w:szCs w:val="20"/>
        </w:rPr>
        <w:t>delegata</w:t>
      </w:r>
      <w:r w:rsidR="0022414A">
        <w:rPr>
          <w:rFonts w:ascii="Arial" w:hAnsi="Arial" w:cs="Arial"/>
          <w:sz w:val="20"/>
          <w:szCs w:val="20"/>
        </w:rPr>
        <w:t xml:space="preserve">  </w:t>
      </w:r>
      <w:r w:rsidR="00A32233">
        <w:rPr>
          <w:rFonts w:ascii="Arial" w:hAnsi="Arial" w:cs="Arial"/>
          <w:sz w:val="20"/>
          <w:szCs w:val="20"/>
        </w:rPr>
        <w:t>al</w:t>
      </w:r>
      <w:proofErr w:type="gramEnd"/>
      <w:r w:rsidR="00A32233">
        <w:rPr>
          <w:rFonts w:ascii="Arial" w:hAnsi="Arial" w:cs="Arial"/>
          <w:sz w:val="20"/>
          <w:szCs w:val="20"/>
        </w:rPr>
        <w:t xml:space="preserve"> servizio di riscossione. </w:t>
      </w:r>
      <w:r w:rsidR="00C24385" w:rsidRPr="00C24385">
        <w:rPr>
          <w:rFonts w:ascii="Arial" w:hAnsi="Arial" w:cs="Arial"/>
          <w:sz w:val="20"/>
          <w:szCs w:val="20"/>
        </w:rPr>
        <w:t>Si parla di tutte le entrate degli enti locali, quindi di multe, tasse, imposte come l’IMU, la Tasi, il bollo auto, etc., con procedure diverse.</w:t>
      </w:r>
      <w:r w:rsidR="0022414A">
        <w:rPr>
          <w:rFonts w:ascii="Arial" w:hAnsi="Arial" w:cs="Arial"/>
          <w:sz w:val="20"/>
          <w:szCs w:val="20"/>
        </w:rPr>
        <w:t xml:space="preserve"> </w:t>
      </w:r>
      <w:r w:rsidR="00C24385" w:rsidRPr="00C24385">
        <w:rPr>
          <w:rFonts w:ascii="Arial" w:hAnsi="Arial" w:cs="Arial"/>
          <w:sz w:val="20"/>
          <w:szCs w:val="20"/>
        </w:rPr>
        <w:t xml:space="preserve">La legge già da tempo </w:t>
      </w:r>
      <w:r w:rsidR="004A302A">
        <w:rPr>
          <w:rFonts w:ascii="Arial" w:hAnsi="Arial" w:cs="Arial"/>
          <w:sz w:val="20"/>
          <w:szCs w:val="20"/>
        </w:rPr>
        <w:t>- f</w:t>
      </w:r>
      <w:r w:rsidR="00C24385" w:rsidRPr="00C24385">
        <w:rPr>
          <w:rFonts w:ascii="Arial" w:hAnsi="Arial" w:cs="Arial"/>
          <w:sz w:val="20"/>
          <w:szCs w:val="20"/>
        </w:rPr>
        <w:t>in da quando nel 2011 era stata pensata, poi mai attuata, l’obbligatorietà della riscossione diretta per i Comuni</w:t>
      </w:r>
      <w:r w:rsidR="004A302A">
        <w:rPr>
          <w:rFonts w:ascii="Arial" w:hAnsi="Arial" w:cs="Arial"/>
          <w:sz w:val="20"/>
          <w:szCs w:val="20"/>
        </w:rPr>
        <w:t xml:space="preserve"> </w:t>
      </w:r>
      <w:r w:rsidR="00C24385" w:rsidRPr="00C24385">
        <w:rPr>
          <w:rFonts w:ascii="Arial" w:hAnsi="Arial" w:cs="Arial"/>
          <w:sz w:val="20"/>
          <w:szCs w:val="20"/>
        </w:rPr>
        <w:t>- ha dotato l’ingiunzione fiscale di poteri riscossori analoghi a quelli della cartella esattoriale, specificando che sono applicabili le stesse normative (D</w:t>
      </w:r>
      <w:r w:rsidR="004A302A">
        <w:rPr>
          <w:rFonts w:ascii="Arial" w:hAnsi="Arial" w:cs="Arial"/>
          <w:sz w:val="20"/>
          <w:szCs w:val="20"/>
        </w:rPr>
        <w:t xml:space="preserve">.P.R. </w:t>
      </w:r>
      <w:r w:rsidR="00C24385" w:rsidRPr="00C24385">
        <w:rPr>
          <w:rFonts w:ascii="Arial" w:hAnsi="Arial" w:cs="Arial"/>
          <w:sz w:val="20"/>
          <w:szCs w:val="20"/>
        </w:rPr>
        <w:t>602/73).</w:t>
      </w:r>
      <w:r w:rsidR="0022414A">
        <w:rPr>
          <w:rFonts w:ascii="Arial" w:hAnsi="Arial" w:cs="Arial"/>
          <w:sz w:val="20"/>
          <w:szCs w:val="20"/>
        </w:rPr>
        <w:t xml:space="preserve"> </w:t>
      </w:r>
      <w:r w:rsidR="00C24385" w:rsidRPr="00C24385">
        <w:rPr>
          <w:rFonts w:ascii="Arial" w:hAnsi="Arial" w:cs="Arial"/>
          <w:sz w:val="20"/>
          <w:szCs w:val="20"/>
          <w:u w:val="single"/>
        </w:rPr>
        <w:t xml:space="preserve">Anche in altri aspetti l'ingiunzione </w:t>
      </w:r>
      <w:r w:rsidR="00C24385" w:rsidRPr="00C24385">
        <w:rPr>
          <w:rFonts w:ascii="Arial" w:hAnsi="Arial" w:cs="Arial"/>
          <w:sz w:val="20"/>
          <w:szCs w:val="20"/>
          <w:u w:val="single"/>
        </w:rPr>
        <w:lastRenderedPageBreak/>
        <w:t>fiscale è stata via via assimilata alla cartella esattoriale</w:t>
      </w:r>
      <w:r w:rsidR="00C24385" w:rsidRPr="00C24385">
        <w:rPr>
          <w:rFonts w:ascii="Arial" w:hAnsi="Arial" w:cs="Arial"/>
          <w:sz w:val="20"/>
          <w:szCs w:val="20"/>
        </w:rPr>
        <w:t>.</w:t>
      </w:r>
      <w:r w:rsidR="0022414A">
        <w:rPr>
          <w:rFonts w:ascii="Arial" w:hAnsi="Arial" w:cs="Arial"/>
          <w:sz w:val="20"/>
          <w:szCs w:val="20"/>
        </w:rPr>
        <w:t xml:space="preserve"> </w:t>
      </w:r>
      <w:r w:rsidR="00C24385" w:rsidRPr="00C24385">
        <w:rPr>
          <w:rFonts w:ascii="Arial" w:hAnsi="Arial" w:cs="Arial"/>
          <w:sz w:val="20"/>
          <w:szCs w:val="20"/>
        </w:rPr>
        <w:t xml:space="preserve">Oltre alla legge anche la Cassazione e l’Agenzia delle </w:t>
      </w:r>
      <w:proofErr w:type="gramStart"/>
      <w:r w:rsidR="00C24385" w:rsidRPr="00C24385">
        <w:rPr>
          <w:rFonts w:ascii="Arial" w:hAnsi="Arial" w:cs="Arial"/>
          <w:sz w:val="20"/>
          <w:szCs w:val="20"/>
        </w:rPr>
        <w:t>Entrate  -</w:t>
      </w:r>
      <w:proofErr w:type="gramEnd"/>
      <w:r w:rsidR="004A302A">
        <w:rPr>
          <w:rFonts w:ascii="Arial" w:hAnsi="Arial" w:cs="Arial"/>
          <w:sz w:val="20"/>
          <w:szCs w:val="20"/>
        </w:rPr>
        <w:t xml:space="preserve"> </w:t>
      </w:r>
      <w:r w:rsidR="00C24385" w:rsidRPr="00C24385">
        <w:rPr>
          <w:rFonts w:ascii="Arial" w:hAnsi="Arial" w:cs="Arial"/>
          <w:sz w:val="20"/>
          <w:szCs w:val="20"/>
        </w:rPr>
        <w:t>con una risoluzione di Dicembre 2017- sono intervenute in tal senso nei propri ambiti</w:t>
      </w:r>
      <w:r w:rsidR="003528A2">
        <w:rPr>
          <w:rFonts w:ascii="Arial" w:hAnsi="Arial" w:cs="Arial"/>
          <w:sz w:val="20"/>
          <w:szCs w:val="20"/>
        </w:rPr>
        <w:t>.</w:t>
      </w:r>
      <w:r w:rsidR="003528A2" w:rsidRPr="003528A2">
        <w:t xml:space="preserve"> </w:t>
      </w:r>
      <w:r w:rsidR="003528A2" w:rsidRPr="004A302A">
        <w:rPr>
          <w:rFonts w:ascii="Arial" w:hAnsi="Arial" w:cs="Arial"/>
          <w:sz w:val="20"/>
          <w:szCs w:val="20"/>
        </w:rPr>
        <w:t>L’ingiunzione fiscale è</w:t>
      </w:r>
      <w:r w:rsidR="00524CAE">
        <w:rPr>
          <w:rFonts w:ascii="Arial" w:hAnsi="Arial" w:cs="Arial"/>
          <w:sz w:val="20"/>
          <w:szCs w:val="20"/>
        </w:rPr>
        <w:t>, dunque,</w:t>
      </w:r>
      <w:r w:rsidR="003528A2" w:rsidRPr="004A302A">
        <w:rPr>
          <w:rFonts w:ascii="Arial" w:hAnsi="Arial" w:cs="Arial"/>
          <w:sz w:val="20"/>
          <w:szCs w:val="20"/>
        </w:rPr>
        <w:t xml:space="preserve"> il primo atto della riscossione coattiva delle entrate degli enti pubblici </w:t>
      </w:r>
      <w:proofErr w:type="gramStart"/>
      <w:r w:rsidR="003528A2" w:rsidRPr="004A302A">
        <w:rPr>
          <w:rFonts w:ascii="Arial" w:hAnsi="Arial" w:cs="Arial"/>
          <w:sz w:val="20"/>
          <w:szCs w:val="20"/>
        </w:rPr>
        <w:t xml:space="preserve">istituita </w:t>
      </w:r>
      <w:r w:rsidR="0022414A" w:rsidRPr="004A302A">
        <w:rPr>
          <w:rFonts w:ascii="Arial" w:hAnsi="Arial" w:cs="Arial"/>
          <w:sz w:val="20"/>
          <w:szCs w:val="20"/>
        </w:rPr>
        <w:t xml:space="preserve"> </w:t>
      </w:r>
      <w:r w:rsidR="003528A2" w:rsidRPr="004A302A">
        <w:rPr>
          <w:rFonts w:ascii="Arial" w:hAnsi="Arial" w:cs="Arial"/>
          <w:sz w:val="20"/>
          <w:szCs w:val="20"/>
        </w:rPr>
        <w:t>addirittura</w:t>
      </w:r>
      <w:proofErr w:type="gramEnd"/>
      <w:r w:rsidR="003528A2" w:rsidRPr="004A302A">
        <w:rPr>
          <w:rFonts w:ascii="Arial" w:hAnsi="Arial" w:cs="Arial"/>
          <w:sz w:val="20"/>
          <w:szCs w:val="20"/>
        </w:rPr>
        <w:t xml:space="preserve"> nel 1910 con un Regio Decreto, caduta poi in disuso -</w:t>
      </w:r>
      <w:r w:rsidR="004A302A">
        <w:rPr>
          <w:rFonts w:ascii="Arial" w:hAnsi="Arial" w:cs="Arial"/>
          <w:sz w:val="20"/>
          <w:szCs w:val="20"/>
        </w:rPr>
        <w:t xml:space="preserve"> </w:t>
      </w:r>
      <w:r w:rsidR="003528A2" w:rsidRPr="004A302A">
        <w:rPr>
          <w:rFonts w:ascii="Arial" w:hAnsi="Arial" w:cs="Arial"/>
          <w:sz w:val="20"/>
          <w:szCs w:val="20"/>
        </w:rPr>
        <w:t>a beneficio della riscossione con iscrizione a ruolo</w:t>
      </w:r>
      <w:r w:rsidR="004A302A">
        <w:rPr>
          <w:rFonts w:ascii="Arial" w:hAnsi="Arial" w:cs="Arial"/>
          <w:sz w:val="20"/>
          <w:szCs w:val="20"/>
        </w:rPr>
        <w:t xml:space="preserve"> </w:t>
      </w:r>
      <w:r w:rsidR="003528A2" w:rsidRPr="004A302A">
        <w:rPr>
          <w:rFonts w:ascii="Arial" w:hAnsi="Arial" w:cs="Arial"/>
          <w:sz w:val="20"/>
          <w:szCs w:val="20"/>
        </w:rPr>
        <w:t>- e poi riemersa nelle normative italiane che l'hanno “risuscitata” come mezzo di riscossione utilizzabile dagli enti locali in alternativa a quella con iscrizione a ruolo (cartella esattoriale).</w:t>
      </w:r>
      <w:r w:rsidR="00524CAE">
        <w:rPr>
          <w:rFonts w:ascii="Arial" w:hAnsi="Arial" w:cs="Arial"/>
          <w:sz w:val="20"/>
          <w:szCs w:val="20"/>
        </w:rPr>
        <w:t xml:space="preserve"> </w:t>
      </w:r>
      <w:r w:rsidR="003528A2" w:rsidRPr="003528A2">
        <w:rPr>
          <w:rFonts w:ascii="Arial" w:hAnsi="Arial" w:cs="Arial"/>
          <w:sz w:val="20"/>
          <w:szCs w:val="20"/>
        </w:rPr>
        <w:br/>
        <w:t>L’utilizzo che viene fatto oggi di questo vecchio mezzo di riscossione vede combinata la normativa del 1910 -via via modificata</w:t>
      </w:r>
      <w:r w:rsidR="004A302A">
        <w:rPr>
          <w:rFonts w:ascii="Arial" w:hAnsi="Arial" w:cs="Arial"/>
          <w:sz w:val="20"/>
          <w:szCs w:val="20"/>
        </w:rPr>
        <w:t xml:space="preserve"> </w:t>
      </w:r>
      <w:r w:rsidR="003528A2" w:rsidRPr="003528A2">
        <w:rPr>
          <w:rFonts w:ascii="Arial" w:hAnsi="Arial" w:cs="Arial"/>
          <w:sz w:val="20"/>
          <w:szCs w:val="20"/>
        </w:rPr>
        <w:t>- con le normative di riscossione successive. Per dirla in termini pratici, questo strumento è stato via via assimilato alla cartella esattoriale sotto molti aspetti.</w:t>
      </w:r>
      <w:r w:rsidR="0022414A">
        <w:rPr>
          <w:rFonts w:ascii="Arial" w:hAnsi="Arial" w:cs="Arial"/>
          <w:sz w:val="20"/>
          <w:szCs w:val="20"/>
        </w:rPr>
        <w:t xml:space="preserve"> </w:t>
      </w:r>
      <w:r w:rsidR="003528A2" w:rsidRPr="003528A2">
        <w:rPr>
          <w:rFonts w:ascii="Arial" w:hAnsi="Arial" w:cs="Arial"/>
          <w:sz w:val="20"/>
          <w:szCs w:val="20"/>
        </w:rPr>
        <w:t xml:space="preserve">Come la cartella l'ingiunzione segue il mancato pagamento di un avviso di accertamento oppure, in caso di multe, di un verbale emesso ai sensi del </w:t>
      </w:r>
      <w:proofErr w:type="spellStart"/>
      <w:r w:rsidR="003528A2" w:rsidRPr="003528A2">
        <w:rPr>
          <w:rFonts w:ascii="Arial" w:hAnsi="Arial" w:cs="Arial"/>
          <w:sz w:val="20"/>
          <w:szCs w:val="20"/>
        </w:rPr>
        <w:t>Cds</w:t>
      </w:r>
      <w:proofErr w:type="spellEnd"/>
      <w:r w:rsidR="003528A2" w:rsidRPr="003528A2">
        <w:rPr>
          <w:rFonts w:ascii="Arial" w:hAnsi="Arial" w:cs="Arial"/>
          <w:sz w:val="20"/>
          <w:szCs w:val="20"/>
        </w:rPr>
        <w:t xml:space="preserve"> (codice della strada).</w:t>
      </w:r>
      <w:r w:rsidR="0022414A">
        <w:rPr>
          <w:rFonts w:ascii="Arial" w:hAnsi="Arial" w:cs="Arial"/>
          <w:sz w:val="20"/>
          <w:szCs w:val="20"/>
        </w:rPr>
        <w:t xml:space="preserve"> </w:t>
      </w:r>
      <w:r w:rsidR="003528A2" w:rsidRPr="004A302A">
        <w:rPr>
          <w:rFonts w:ascii="Arial" w:hAnsi="Arial" w:cs="Arial"/>
          <w:sz w:val="20"/>
          <w:szCs w:val="20"/>
        </w:rPr>
        <w:t>Come la cartella, ulteriormente, i termini di pagamento e di opposizione</w:t>
      </w:r>
      <w:r w:rsidR="004A302A" w:rsidRPr="004A302A">
        <w:rPr>
          <w:rFonts w:ascii="Arial" w:hAnsi="Arial" w:cs="Arial"/>
          <w:sz w:val="20"/>
          <w:szCs w:val="20"/>
        </w:rPr>
        <w:t xml:space="preserve"> </w:t>
      </w:r>
      <w:r w:rsidR="003528A2" w:rsidRPr="004A302A">
        <w:rPr>
          <w:rFonts w:ascii="Arial" w:hAnsi="Arial" w:cs="Arial"/>
          <w:sz w:val="20"/>
          <w:szCs w:val="20"/>
        </w:rPr>
        <w:t>-</w:t>
      </w:r>
      <w:r w:rsidR="0022414A" w:rsidRPr="004A302A">
        <w:rPr>
          <w:rFonts w:ascii="Arial" w:hAnsi="Arial" w:cs="Arial"/>
          <w:sz w:val="20"/>
          <w:szCs w:val="20"/>
        </w:rPr>
        <w:t xml:space="preserve">   </w:t>
      </w:r>
      <w:r w:rsidR="003528A2" w:rsidRPr="004A302A">
        <w:rPr>
          <w:rFonts w:ascii="Arial" w:hAnsi="Arial" w:cs="Arial"/>
          <w:sz w:val="20"/>
          <w:szCs w:val="20"/>
        </w:rPr>
        <w:t>nonch</w:t>
      </w:r>
      <w:r w:rsidR="0022414A" w:rsidRPr="004A302A">
        <w:rPr>
          <w:rFonts w:ascii="Arial" w:hAnsi="Arial" w:cs="Arial"/>
          <w:sz w:val="20"/>
          <w:szCs w:val="20"/>
        </w:rPr>
        <w:t xml:space="preserve">é </w:t>
      </w:r>
      <w:r w:rsidR="003528A2" w:rsidRPr="004A302A">
        <w:rPr>
          <w:rFonts w:ascii="Arial" w:hAnsi="Arial" w:cs="Arial"/>
          <w:sz w:val="20"/>
          <w:szCs w:val="20"/>
        </w:rPr>
        <w:t>giudice competente</w:t>
      </w:r>
      <w:r w:rsidR="004A302A" w:rsidRPr="004A302A">
        <w:rPr>
          <w:rFonts w:ascii="Arial" w:hAnsi="Arial" w:cs="Arial"/>
          <w:sz w:val="20"/>
          <w:szCs w:val="20"/>
        </w:rPr>
        <w:t xml:space="preserve"> </w:t>
      </w:r>
      <w:r w:rsidR="003528A2" w:rsidRPr="004A302A">
        <w:rPr>
          <w:rFonts w:ascii="Arial" w:hAnsi="Arial" w:cs="Arial"/>
          <w:sz w:val="20"/>
          <w:szCs w:val="20"/>
        </w:rPr>
        <w:t>- dipendono dal tipo di debito sottostante.</w:t>
      </w:r>
      <w:r w:rsidR="0022414A" w:rsidRPr="004A302A">
        <w:rPr>
          <w:rFonts w:ascii="Arial" w:hAnsi="Arial" w:cs="Arial"/>
          <w:sz w:val="20"/>
          <w:szCs w:val="20"/>
        </w:rPr>
        <w:t xml:space="preserve"> </w:t>
      </w:r>
      <w:r w:rsidR="003528A2" w:rsidRPr="004A302A">
        <w:rPr>
          <w:rFonts w:ascii="Arial" w:hAnsi="Arial" w:cs="Arial"/>
          <w:sz w:val="20"/>
          <w:szCs w:val="20"/>
        </w:rPr>
        <w:t>Se il Regio decreto del 1910 prevede 30 giorni per pagare e la competenza, per le opposizioni, del giudice ordinario, ampia e autorevole giurisprudenza si è riferita a normative successive stabilendo per i debiti di natura tributaria la competenza del giudice tributario con conseguente termine più lungo per opporsi o pagare, 60 giorni.</w:t>
      </w:r>
    </w:p>
    <w:p w:rsidR="0022414A" w:rsidRDefault="003528A2" w:rsidP="002241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28A2">
        <w:rPr>
          <w:rFonts w:ascii="Arial" w:hAnsi="Arial" w:cs="Arial"/>
          <w:sz w:val="20"/>
          <w:szCs w:val="20"/>
        </w:rPr>
        <w:br/>
      </w:r>
      <w:bookmarkStart w:id="2" w:name="Voce_2"/>
      <w:r w:rsidRPr="00524CAE">
        <w:rPr>
          <w:rStyle w:val="Enfasigrassetto"/>
          <w:rFonts w:ascii="Arial" w:hAnsi="Arial" w:cs="Arial"/>
          <w:sz w:val="20"/>
          <w:szCs w:val="20"/>
          <w:u w:val="single"/>
        </w:rPr>
        <w:t>NOTIFICA</w:t>
      </w:r>
      <w:bookmarkEnd w:id="2"/>
      <w:r w:rsidRPr="00524CAE">
        <w:rPr>
          <w:rFonts w:ascii="Arial" w:hAnsi="Arial" w:cs="Arial"/>
          <w:sz w:val="20"/>
          <w:szCs w:val="20"/>
          <w:u w:val="single"/>
        </w:rPr>
        <w:br/>
      </w:r>
      <w:r w:rsidRPr="003528A2">
        <w:rPr>
          <w:rFonts w:ascii="Arial" w:hAnsi="Arial" w:cs="Arial"/>
          <w:sz w:val="20"/>
          <w:szCs w:val="20"/>
        </w:rPr>
        <w:t>L'ingiunzione deve essere notificata al debitore personalmente -</w:t>
      </w:r>
      <w:r w:rsidR="004A302A">
        <w:rPr>
          <w:rFonts w:ascii="Arial" w:hAnsi="Arial" w:cs="Arial"/>
          <w:sz w:val="20"/>
          <w:szCs w:val="20"/>
        </w:rPr>
        <w:t xml:space="preserve"> </w:t>
      </w:r>
      <w:r w:rsidRPr="003528A2">
        <w:rPr>
          <w:rFonts w:ascii="Arial" w:hAnsi="Arial" w:cs="Arial"/>
          <w:sz w:val="20"/>
          <w:szCs w:val="20"/>
        </w:rPr>
        <w:t>secondo le normative del codice di procedura civile</w:t>
      </w:r>
      <w:r w:rsidR="004A302A">
        <w:rPr>
          <w:rFonts w:ascii="Arial" w:hAnsi="Arial" w:cs="Arial"/>
          <w:sz w:val="20"/>
          <w:szCs w:val="20"/>
        </w:rPr>
        <w:t xml:space="preserve"> </w:t>
      </w:r>
      <w:r w:rsidRPr="003528A2">
        <w:rPr>
          <w:rFonts w:ascii="Arial" w:hAnsi="Arial" w:cs="Arial"/>
          <w:sz w:val="20"/>
          <w:szCs w:val="20"/>
        </w:rPr>
        <w:t>- oppure via posta.</w:t>
      </w:r>
      <w:r w:rsidR="0022414A">
        <w:rPr>
          <w:rFonts w:ascii="Arial" w:hAnsi="Arial" w:cs="Arial"/>
          <w:sz w:val="20"/>
          <w:szCs w:val="20"/>
        </w:rPr>
        <w:t xml:space="preserve"> </w:t>
      </w:r>
      <w:r w:rsidRPr="003528A2">
        <w:rPr>
          <w:rFonts w:ascii="Arial" w:hAnsi="Arial" w:cs="Arial"/>
          <w:sz w:val="20"/>
          <w:szCs w:val="20"/>
        </w:rPr>
        <w:t>Nel dettaglio, le varie disposizioni di legge consentono la notifica dell'ingiunzione fiscale tramite:</w:t>
      </w:r>
    </w:p>
    <w:p w:rsidR="00524CAE" w:rsidRDefault="003528A2" w:rsidP="008F0F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28A2">
        <w:rPr>
          <w:rFonts w:ascii="Arial" w:hAnsi="Arial" w:cs="Arial"/>
          <w:sz w:val="20"/>
          <w:szCs w:val="20"/>
        </w:rPr>
        <w:t>- ufficiali giudiziari secondo le disposizioni del codice di procedura civile (R</w:t>
      </w:r>
      <w:r w:rsidR="004A302A">
        <w:rPr>
          <w:rFonts w:ascii="Arial" w:hAnsi="Arial" w:cs="Arial"/>
          <w:sz w:val="20"/>
          <w:szCs w:val="20"/>
        </w:rPr>
        <w:t>.</w:t>
      </w:r>
      <w:r w:rsidRPr="003528A2">
        <w:rPr>
          <w:rFonts w:ascii="Arial" w:hAnsi="Arial" w:cs="Arial"/>
          <w:sz w:val="20"/>
          <w:szCs w:val="20"/>
        </w:rPr>
        <w:t>D</w:t>
      </w:r>
      <w:r w:rsidR="004A302A">
        <w:rPr>
          <w:rFonts w:ascii="Arial" w:hAnsi="Arial" w:cs="Arial"/>
          <w:sz w:val="20"/>
          <w:szCs w:val="20"/>
        </w:rPr>
        <w:t>.</w:t>
      </w:r>
      <w:r w:rsidRPr="003528A2">
        <w:rPr>
          <w:rFonts w:ascii="Arial" w:hAnsi="Arial" w:cs="Arial"/>
          <w:sz w:val="20"/>
          <w:szCs w:val="20"/>
        </w:rPr>
        <w:t xml:space="preserve"> 639/1910);</w:t>
      </w:r>
      <w:r w:rsidRPr="003528A2">
        <w:rPr>
          <w:rFonts w:ascii="Arial" w:hAnsi="Arial" w:cs="Arial"/>
          <w:sz w:val="20"/>
          <w:szCs w:val="20"/>
        </w:rPr>
        <w:br/>
        <w:t>- funzionari responsabili della riscossione (</w:t>
      </w:r>
      <w:proofErr w:type="spellStart"/>
      <w:r w:rsidRPr="003528A2">
        <w:rPr>
          <w:rFonts w:ascii="Arial" w:hAnsi="Arial" w:cs="Arial"/>
          <w:sz w:val="20"/>
          <w:szCs w:val="20"/>
        </w:rPr>
        <w:t>D</w:t>
      </w:r>
      <w:r w:rsidR="004A302A">
        <w:rPr>
          <w:rFonts w:ascii="Arial" w:hAnsi="Arial" w:cs="Arial"/>
          <w:sz w:val="20"/>
          <w:szCs w:val="20"/>
        </w:rPr>
        <w:t>.</w:t>
      </w:r>
      <w:r w:rsidRPr="003528A2">
        <w:rPr>
          <w:rFonts w:ascii="Arial" w:hAnsi="Arial" w:cs="Arial"/>
          <w:sz w:val="20"/>
          <w:szCs w:val="20"/>
        </w:rPr>
        <w:t>l</w:t>
      </w:r>
      <w:r w:rsidR="004A302A">
        <w:rPr>
          <w:rFonts w:ascii="Arial" w:hAnsi="Arial" w:cs="Arial"/>
          <w:sz w:val="20"/>
          <w:szCs w:val="20"/>
        </w:rPr>
        <w:t>.</w:t>
      </w:r>
      <w:proofErr w:type="spellEnd"/>
      <w:r w:rsidRPr="003528A2">
        <w:rPr>
          <w:rFonts w:ascii="Arial" w:hAnsi="Arial" w:cs="Arial"/>
          <w:sz w:val="20"/>
          <w:szCs w:val="20"/>
        </w:rPr>
        <w:t xml:space="preserve"> 70/2011 art.7 comma 2 lettera gg-sexies);</w:t>
      </w:r>
      <w:r w:rsidRPr="003528A2">
        <w:rPr>
          <w:rFonts w:ascii="Arial" w:hAnsi="Arial" w:cs="Arial"/>
          <w:sz w:val="20"/>
          <w:szCs w:val="20"/>
        </w:rPr>
        <w:br/>
        <w:t>- messi comunali o notificatori nominati dagli uffici (Legge 296/2006 art.1 comma 158).</w:t>
      </w:r>
      <w:r w:rsidR="004A302A">
        <w:rPr>
          <w:rFonts w:ascii="Arial" w:hAnsi="Arial" w:cs="Arial"/>
          <w:sz w:val="20"/>
          <w:szCs w:val="20"/>
        </w:rPr>
        <w:t xml:space="preserve"> </w:t>
      </w:r>
      <w:r w:rsidRPr="003528A2">
        <w:rPr>
          <w:rFonts w:ascii="Arial" w:hAnsi="Arial" w:cs="Arial"/>
          <w:sz w:val="20"/>
          <w:szCs w:val="20"/>
        </w:rPr>
        <w:br/>
        <w:t>L'ente locale, direttamente o tramite il messo comunale, può legittimamente notificare l'ingiunzione anche a</w:t>
      </w:r>
      <w:r w:rsidR="0022414A">
        <w:rPr>
          <w:rFonts w:ascii="Arial" w:hAnsi="Arial" w:cs="Arial"/>
          <w:sz w:val="20"/>
          <w:szCs w:val="20"/>
        </w:rPr>
        <w:t xml:space="preserve"> </w:t>
      </w:r>
      <w:r w:rsidR="004A302A">
        <w:rPr>
          <w:rFonts w:ascii="Arial" w:hAnsi="Arial" w:cs="Arial"/>
          <w:sz w:val="20"/>
          <w:szCs w:val="20"/>
        </w:rPr>
        <w:t>mezzo posta secondo il disposto dell’art. 10 della Legge 265/1999.</w:t>
      </w:r>
    </w:p>
    <w:p w:rsidR="004A302A" w:rsidRPr="004A302A" w:rsidRDefault="004A302A" w:rsidP="008F0F99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2414A">
        <w:rPr>
          <w:rFonts w:ascii="Arial" w:hAnsi="Arial" w:cs="Arial"/>
          <w:sz w:val="20"/>
          <w:szCs w:val="20"/>
        </w:rPr>
        <w:t xml:space="preserve"> </w:t>
      </w:r>
      <w:r w:rsidRPr="004A302A">
        <w:rPr>
          <w:rFonts w:ascii="Arial" w:hAnsi="Arial" w:cs="Arial"/>
          <w:b/>
          <w:sz w:val="20"/>
          <w:szCs w:val="20"/>
          <w:u w:val="single"/>
        </w:rPr>
        <w:t>POTERI ESECUTIVI</w:t>
      </w:r>
    </w:p>
    <w:p w:rsidR="008F0F99" w:rsidRDefault="003528A2" w:rsidP="008F0F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28A2">
        <w:rPr>
          <w:rFonts w:ascii="Arial" w:hAnsi="Arial" w:cs="Arial"/>
          <w:sz w:val="20"/>
          <w:szCs w:val="20"/>
        </w:rPr>
        <w:t xml:space="preserve">Il Regio decreto del 1910 prevede di per sé che a fronte del mancato pagamento di </w:t>
      </w:r>
      <w:proofErr w:type="gramStart"/>
      <w:r w:rsidRPr="003528A2">
        <w:rPr>
          <w:rFonts w:ascii="Arial" w:hAnsi="Arial" w:cs="Arial"/>
          <w:sz w:val="20"/>
          <w:szCs w:val="20"/>
        </w:rPr>
        <w:t>un ingiunzione</w:t>
      </w:r>
      <w:proofErr w:type="gramEnd"/>
      <w:r w:rsidRPr="003528A2">
        <w:rPr>
          <w:rFonts w:ascii="Arial" w:hAnsi="Arial" w:cs="Arial"/>
          <w:sz w:val="20"/>
          <w:szCs w:val="20"/>
        </w:rPr>
        <w:t xml:space="preserve"> fiscale -</w:t>
      </w:r>
      <w:r w:rsidR="004A302A">
        <w:rPr>
          <w:rFonts w:ascii="Arial" w:hAnsi="Arial" w:cs="Arial"/>
          <w:sz w:val="20"/>
          <w:szCs w:val="20"/>
        </w:rPr>
        <w:t xml:space="preserve"> </w:t>
      </w:r>
      <w:r w:rsidRPr="003528A2">
        <w:rPr>
          <w:rFonts w:ascii="Arial" w:hAnsi="Arial" w:cs="Arial"/>
          <w:sz w:val="20"/>
          <w:szCs w:val="20"/>
        </w:rPr>
        <w:t>o nel caso di rigetto di un eventuale opposizione</w:t>
      </w:r>
      <w:r w:rsidR="004A302A">
        <w:rPr>
          <w:rFonts w:ascii="Arial" w:hAnsi="Arial" w:cs="Arial"/>
          <w:sz w:val="20"/>
          <w:szCs w:val="20"/>
        </w:rPr>
        <w:t xml:space="preserve"> </w:t>
      </w:r>
      <w:r w:rsidRPr="003528A2">
        <w:rPr>
          <w:rFonts w:ascii="Arial" w:hAnsi="Arial" w:cs="Arial"/>
          <w:sz w:val="20"/>
          <w:szCs w:val="20"/>
        </w:rPr>
        <w:t xml:space="preserve">- si possa procedere al pignoramento dei beni mobili del </w:t>
      </w:r>
      <w:r w:rsidR="008F0F99">
        <w:rPr>
          <w:rFonts w:ascii="Arial" w:hAnsi="Arial" w:cs="Arial"/>
          <w:sz w:val="20"/>
          <w:szCs w:val="20"/>
        </w:rPr>
        <w:t>d</w:t>
      </w:r>
      <w:r w:rsidRPr="003528A2">
        <w:rPr>
          <w:rFonts w:ascii="Arial" w:hAnsi="Arial" w:cs="Arial"/>
          <w:sz w:val="20"/>
          <w:szCs w:val="20"/>
        </w:rPr>
        <w:t>ebitore o all’espropriazione dei beni immobili.</w:t>
      </w:r>
      <w:r w:rsidR="008F0F99">
        <w:rPr>
          <w:rFonts w:ascii="Arial" w:hAnsi="Arial" w:cs="Arial"/>
          <w:sz w:val="20"/>
          <w:szCs w:val="20"/>
        </w:rPr>
        <w:t xml:space="preserve"> </w:t>
      </w:r>
      <w:r w:rsidRPr="003528A2">
        <w:rPr>
          <w:rFonts w:ascii="Arial" w:hAnsi="Arial" w:cs="Arial"/>
          <w:sz w:val="20"/>
          <w:szCs w:val="20"/>
        </w:rPr>
        <w:t>Nel tempo e con successive leggi e giurisprudenza però il potere esecutivo dell’ingiunzione si è evoluto ed adattato alle nuove norme e procedure, arrivando ad equipararsi a quello delle cartelle esattoriali (si vedano per i dettagli le fonti normative).</w:t>
      </w:r>
      <w:r w:rsidR="00524CAE">
        <w:rPr>
          <w:rFonts w:ascii="Arial" w:hAnsi="Arial" w:cs="Arial"/>
          <w:sz w:val="20"/>
          <w:szCs w:val="20"/>
        </w:rPr>
        <w:t xml:space="preserve"> </w:t>
      </w:r>
      <w:r w:rsidRPr="003528A2">
        <w:rPr>
          <w:rFonts w:ascii="Arial" w:hAnsi="Arial" w:cs="Arial"/>
          <w:sz w:val="20"/>
          <w:szCs w:val="20"/>
        </w:rPr>
        <w:t xml:space="preserve">Più norme hanno infatti chiarito non solo che gli enti locali possono riscuotere le proprie entrate con </w:t>
      </w:r>
      <w:r w:rsidR="008F0F99">
        <w:rPr>
          <w:rFonts w:ascii="Arial" w:hAnsi="Arial" w:cs="Arial"/>
          <w:sz w:val="20"/>
          <w:szCs w:val="20"/>
        </w:rPr>
        <w:t>i</w:t>
      </w:r>
      <w:r w:rsidRPr="003528A2">
        <w:rPr>
          <w:rFonts w:ascii="Arial" w:hAnsi="Arial" w:cs="Arial"/>
          <w:sz w:val="20"/>
          <w:szCs w:val="20"/>
        </w:rPr>
        <w:t xml:space="preserve">ngiunzione fiscale, ma anche che sono applicabili le regole di riscossione fissate dal </w:t>
      </w:r>
      <w:proofErr w:type="spellStart"/>
      <w:r w:rsidRPr="003528A2">
        <w:rPr>
          <w:rFonts w:ascii="Arial" w:hAnsi="Arial" w:cs="Arial"/>
          <w:sz w:val="20"/>
          <w:szCs w:val="20"/>
        </w:rPr>
        <w:t>Dpr</w:t>
      </w:r>
      <w:proofErr w:type="spellEnd"/>
      <w:r w:rsidRPr="003528A2">
        <w:rPr>
          <w:rFonts w:ascii="Arial" w:hAnsi="Arial" w:cs="Arial"/>
          <w:sz w:val="20"/>
          <w:szCs w:val="20"/>
        </w:rPr>
        <w:t xml:space="preserve"> 602/73 al Titolo </w:t>
      </w:r>
      <w:proofErr w:type="gramStart"/>
      <w:r w:rsidRPr="003528A2">
        <w:rPr>
          <w:rFonts w:ascii="Arial" w:hAnsi="Arial" w:cs="Arial"/>
          <w:sz w:val="20"/>
          <w:szCs w:val="20"/>
        </w:rPr>
        <w:t xml:space="preserve">II, </w:t>
      </w:r>
      <w:r w:rsidR="008F0F99">
        <w:rPr>
          <w:rFonts w:ascii="Arial" w:hAnsi="Arial" w:cs="Arial"/>
          <w:sz w:val="20"/>
          <w:szCs w:val="20"/>
        </w:rPr>
        <w:t xml:space="preserve"> </w:t>
      </w:r>
      <w:r w:rsidRPr="003528A2">
        <w:rPr>
          <w:rFonts w:ascii="Arial" w:hAnsi="Arial" w:cs="Arial"/>
          <w:sz w:val="20"/>
          <w:szCs w:val="20"/>
        </w:rPr>
        <w:t>ovvero</w:t>
      </w:r>
      <w:proofErr w:type="gramEnd"/>
      <w:r w:rsidRPr="003528A2">
        <w:rPr>
          <w:rFonts w:ascii="Arial" w:hAnsi="Arial" w:cs="Arial"/>
          <w:sz w:val="20"/>
          <w:szCs w:val="20"/>
        </w:rPr>
        <w:t>:</w:t>
      </w:r>
      <w:r w:rsidRPr="003528A2">
        <w:rPr>
          <w:rFonts w:ascii="Arial" w:hAnsi="Arial" w:cs="Arial"/>
          <w:sz w:val="20"/>
          <w:szCs w:val="20"/>
        </w:rPr>
        <w:br/>
        <w:t>- espropriazione forzata (pignoramento) mobiliare e immobiliare (con iscrizione di ipoteca);</w:t>
      </w:r>
    </w:p>
    <w:p w:rsidR="008F0F99" w:rsidRDefault="008F0F99" w:rsidP="008F0F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espropriazione forzata (pignoramento) presso terzi;</w:t>
      </w:r>
    </w:p>
    <w:p w:rsidR="00524CAE" w:rsidRDefault="008F0F99" w:rsidP="008F0F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fermo amministrativo dei veicoli.</w:t>
      </w:r>
      <w:r w:rsidR="00524CAE">
        <w:rPr>
          <w:rFonts w:ascii="Arial" w:hAnsi="Arial" w:cs="Arial"/>
          <w:sz w:val="20"/>
          <w:szCs w:val="20"/>
        </w:rPr>
        <w:t xml:space="preserve"> </w:t>
      </w:r>
    </w:p>
    <w:p w:rsidR="008F0F99" w:rsidRDefault="003528A2" w:rsidP="008F0F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28A2">
        <w:rPr>
          <w:rFonts w:ascii="Arial" w:hAnsi="Arial" w:cs="Arial"/>
          <w:sz w:val="20"/>
          <w:szCs w:val="20"/>
        </w:rPr>
        <w:lastRenderedPageBreak/>
        <w:t>Sul punto è anche intervenuta l’Agenzia delle Entrate interpellata da una società concessionaria per la riscossione delle entrate di un ente locale, confermando l’equiparazione -</w:t>
      </w:r>
      <w:r w:rsidR="008F0F99">
        <w:rPr>
          <w:rFonts w:ascii="Arial" w:hAnsi="Arial" w:cs="Arial"/>
          <w:sz w:val="20"/>
          <w:szCs w:val="20"/>
        </w:rPr>
        <w:t xml:space="preserve"> </w:t>
      </w:r>
      <w:r w:rsidRPr="003528A2">
        <w:rPr>
          <w:rFonts w:ascii="Arial" w:hAnsi="Arial" w:cs="Arial"/>
          <w:sz w:val="20"/>
          <w:szCs w:val="20"/>
        </w:rPr>
        <w:t>in termini di riscossione coattiva</w:t>
      </w:r>
      <w:r w:rsidR="008F0F99">
        <w:rPr>
          <w:rFonts w:ascii="Arial" w:hAnsi="Arial" w:cs="Arial"/>
          <w:sz w:val="20"/>
          <w:szCs w:val="20"/>
        </w:rPr>
        <w:t xml:space="preserve"> </w:t>
      </w:r>
      <w:r w:rsidRPr="003528A2">
        <w:rPr>
          <w:rFonts w:ascii="Arial" w:hAnsi="Arial" w:cs="Arial"/>
          <w:sz w:val="20"/>
          <w:szCs w:val="20"/>
        </w:rPr>
        <w:t>- dell’ingiunzione fiscale con il ruolo (cartella esattoriale), argomentando specificatamente riguardo</w:t>
      </w:r>
      <w:r w:rsidR="008F0F99">
        <w:rPr>
          <w:rFonts w:ascii="Arial" w:hAnsi="Arial" w:cs="Arial"/>
          <w:sz w:val="20"/>
          <w:szCs w:val="20"/>
        </w:rPr>
        <w:t xml:space="preserve"> all’iscrizione di ipoteca applicabile per crediti tributari dei Comuni.</w:t>
      </w:r>
    </w:p>
    <w:p w:rsidR="00407EE7" w:rsidRDefault="008F0F99" w:rsidP="008F0F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3" w:name="Voce_4"/>
      <w:r w:rsidR="003528A2" w:rsidRPr="00524CAE">
        <w:rPr>
          <w:rStyle w:val="Enfasigrassetto"/>
          <w:rFonts w:ascii="Arial" w:hAnsi="Arial" w:cs="Arial"/>
          <w:sz w:val="20"/>
          <w:szCs w:val="20"/>
          <w:u w:val="single"/>
        </w:rPr>
        <w:t>OPPOSIZIONE</w:t>
      </w:r>
      <w:bookmarkEnd w:id="3"/>
      <w:r w:rsidR="003528A2" w:rsidRPr="003528A2">
        <w:rPr>
          <w:rFonts w:ascii="Arial" w:hAnsi="Arial" w:cs="Arial"/>
          <w:sz w:val="20"/>
          <w:szCs w:val="20"/>
        </w:rPr>
        <w:br/>
        <w:t>Come giudice competente per l'opposizione il RD del 1910 stabilisce quello ordinario, quindi giudice di pace o</w:t>
      </w:r>
      <w:r>
        <w:rPr>
          <w:rFonts w:ascii="Arial" w:hAnsi="Arial" w:cs="Arial"/>
          <w:sz w:val="20"/>
          <w:szCs w:val="20"/>
        </w:rPr>
        <w:t xml:space="preserve"> tribunale. </w:t>
      </w:r>
      <w:r w:rsidR="003528A2" w:rsidRPr="003528A2">
        <w:rPr>
          <w:rFonts w:ascii="Arial" w:hAnsi="Arial" w:cs="Arial"/>
          <w:sz w:val="20"/>
          <w:szCs w:val="20"/>
        </w:rPr>
        <w:t xml:space="preserve">Tuttavia la questione è stata dibattuta a livello giurisprudenziale fino ad arrivare al principio affermato dalla Cassazione (a sezioni unite) che sancisce che la competenza è diversa a seconda del caso e della natura del debito </w:t>
      </w:r>
      <w:hyperlink r:id="rId11" w:tgtFrame="_blank" w:history="1">
        <w:r w:rsidR="003528A2" w:rsidRPr="008F0F99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</w:rPr>
          <w:t>(Cass</w:t>
        </w:r>
        <w:r w:rsidRPr="008F0F99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</w:rPr>
          <w:t>.</w:t>
        </w:r>
        <w:r w:rsidR="003528A2" w:rsidRPr="008F0F99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</w:rPr>
          <w:t xml:space="preserve"> </w:t>
        </w:r>
        <w:proofErr w:type="spellStart"/>
        <w:r w:rsidRPr="008F0F99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</w:rPr>
          <w:t>s</w:t>
        </w:r>
        <w:r w:rsidR="003528A2" w:rsidRPr="008F0F99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</w:rPr>
          <w:t>ent</w:t>
        </w:r>
        <w:proofErr w:type="spellEnd"/>
        <w:r w:rsidRPr="008F0F99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</w:rPr>
          <w:t>.</w:t>
        </w:r>
        <w:r w:rsidR="003528A2" w:rsidRPr="008F0F99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val="none"/>
          </w:rPr>
          <w:t xml:space="preserve"> 29/2016</w:t>
        </w:r>
      </w:hyperlink>
      <w:r w:rsidR="003528A2" w:rsidRPr="008F0F99">
        <w:rPr>
          <w:rFonts w:ascii="Arial" w:hAnsi="Arial" w:cs="Arial"/>
          <w:color w:val="000000" w:themeColor="text1"/>
          <w:sz w:val="20"/>
          <w:szCs w:val="20"/>
        </w:rPr>
        <w:t>).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528A2" w:rsidRPr="003528A2">
        <w:rPr>
          <w:rFonts w:ascii="Arial" w:hAnsi="Arial" w:cs="Arial"/>
          <w:sz w:val="20"/>
          <w:szCs w:val="20"/>
        </w:rPr>
        <w:t>Per i debiti tributari la competenza è del giudice tributario e il riferimento è il D.lgs. 546/92 anche riguardo ai termini di opposizione (60 giorni). Per le ingiunzioni che riguardano altri tipi di debito, come per esempio le multe, il giudice competente è e rimane quello ordinario.</w:t>
      </w:r>
      <w:r>
        <w:rPr>
          <w:rFonts w:ascii="Arial" w:hAnsi="Arial" w:cs="Arial"/>
          <w:sz w:val="20"/>
          <w:szCs w:val="20"/>
        </w:rPr>
        <w:t xml:space="preserve"> </w:t>
      </w:r>
      <w:r w:rsidR="003528A2" w:rsidRPr="003528A2">
        <w:rPr>
          <w:rFonts w:ascii="Arial" w:hAnsi="Arial" w:cs="Arial"/>
          <w:sz w:val="20"/>
          <w:szCs w:val="20"/>
        </w:rPr>
        <w:br/>
        <w:t>I termini e il giudice competente per l'opposizione sono in ogni caso specificati nell'ingiunzione stessa.</w:t>
      </w:r>
    </w:p>
    <w:p w:rsidR="00407EE7" w:rsidRDefault="00407EE7" w:rsidP="008F0F99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07EE7">
        <w:rPr>
          <w:rFonts w:ascii="Arial" w:hAnsi="Arial" w:cs="Arial"/>
          <w:b/>
          <w:sz w:val="20"/>
          <w:szCs w:val="20"/>
          <w:u w:val="single"/>
        </w:rPr>
        <w:t>CONCLUSIONE.</w:t>
      </w:r>
    </w:p>
    <w:p w:rsidR="00A75BF9" w:rsidRDefault="00407EE7" w:rsidP="008F0F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07EE7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onsiderato che l’ingiunzione fiscale è un atto individuale, destinato cioè al singolo contribuente – debitore, al quale viene poi notificata e</w:t>
      </w:r>
      <w:r w:rsidR="00A75BF9">
        <w:rPr>
          <w:rFonts w:ascii="Arial" w:hAnsi="Arial" w:cs="Arial"/>
          <w:sz w:val="20"/>
          <w:szCs w:val="20"/>
        </w:rPr>
        <w:t xml:space="preserve"> che per la notifica dell’ingiunzione stessa l’art. 2 R.D. n.</w:t>
      </w:r>
      <w:r w:rsidR="00013BA9">
        <w:rPr>
          <w:rFonts w:ascii="Arial" w:hAnsi="Arial" w:cs="Arial"/>
          <w:sz w:val="20"/>
          <w:szCs w:val="20"/>
        </w:rPr>
        <w:t xml:space="preserve"> </w:t>
      </w:r>
      <w:r w:rsidR="00A75BF9">
        <w:rPr>
          <w:rFonts w:ascii="Arial" w:hAnsi="Arial" w:cs="Arial"/>
          <w:sz w:val="20"/>
          <w:szCs w:val="20"/>
        </w:rPr>
        <w:t>639/1910 richiama la disciplina della notifica degli atti giudiziari, si conclude per la natura di dato sensibile dell’ingiunzione fiscale medesima.</w:t>
      </w:r>
    </w:p>
    <w:p w:rsidR="00C879AC" w:rsidRDefault="00C879AC" w:rsidP="00C879AC">
      <w:pPr>
        <w:pStyle w:val="NormaleWeb"/>
        <w:shd w:val="clear" w:color="auto" w:fill="FFFFFF"/>
        <w:spacing w:before="92" w:beforeAutospacing="0" w:after="92" w:afterAutospacing="0"/>
        <w:rPr>
          <w:rStyle w:val="Enfasigrassetto"/>
          <w:rFonts w:ascii="Helvetica" w:hAnsi="Helvetica" w:cs="Helvetica"/>
          <w:color w:val="004A70"/>
          <w:sz w:val="12"/>
          <w:szCs w:val="12"/>
        </w:rPr>
      </w:pPr>
    </w:p>
    <w:p w:rsidR="00270E19" w:rsidRDefault="00270E19" w:rsidP="00F65A0D">
      <w:pPr>
        <w:pStyle w:val="NormaleWeb"/>
        <w:shd w:val="clear" w:color="auto" w:fill="FFFFFF"/>
        <w:spacing w:before="92" w:beforeAutospacing="0" w:after="92" w:afterAutospacing="0"/>
        <w:rPr>
          <w:rFonts w:ascii="Helvetica" w:hAnsi="Helvetica" w:cs="Helvetica"/>
          <w:color w:val="292929"/>
          <w:sz w:val="12"/>
          <w:szCs w:val="12"/>
        </w:rPr>
      </w:pPr>
    </w:p>
    <w:p w:rsidR="00F65A0D" w:rsidRDefault="00F65A0D" w:rsidP="00F65A0D">
      <w:pPr>
        <w:pStyle w:val="NormaleWeb"/>
        <w:shd w:val="clear" w:color="auto" w:fill="FFFFFF"/>
        <w:spacing w:before="92" w:beforeAutospacing="0" w:after="92" w:afterAutospacing="0"/>
        <w:rPr>
          <w:rFonts w:ascii="Helvetica" w:hAnsi="Helvetica" w:cs="Helvetica"/>
          <w:color w:val="292929"/>
          <w:sz w:val="12"/>
          <w:szCs w:val="12"/>
        </w:rPr>
      </w:pPr>
      <w:bookmarkStart w:id="4" w:name="27"/>
      <w:bookmarkEnd w:id="4"/>
      <w:r>
        <w:rPr>
          <w:rFonts w:ascii="Helvetica" w:hAnsi="Helvetica" w:cs="Helvetica"/>
          <w:color w:val="292929"/>
          <w:sz w:val="12"/>
          <w:szCs w:val="12"/>
        </w:rPr>
        <w:t> </w:t>
      </w:r>
    </w:p>
    <w:p w:rsidR="00B12AEA" w:rsidRPr="00407EE7" w:rsidRDefault="00B12AEA" w:rsidP="008F0F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28A2" w:rsidRPr="003528A2" w:rsidRDefault="003528A2" w:rsidP="008F0F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28A2">
        <w:rPr>
          <w:rFonts w:ascii="Arial" w:hAnsi="Arial" w:cs="Arial"/>
          <w:sz w:val="20"/>
          <w:szCs w:val="20"/>
        </w:rPr>
        <w:br/>
      </w:r>
      <w:r w:rsidRPr="003528A2">
        <w:rPr>
          <w:rFonts w:ascii="Arial" w:hAnsi="Arial" w:cs="Arial"/>
          <w:sz w:val="20"/>
          <w:szCs w:val="20"/>
        </w:rPr>
        <w:br/>
      </w:r>
    </w:p>
    <w:p w:rsidR="003528A2" w:rsidRPr="003528A2" w:rsidRDefault="003528A2" w:rsidP="008332E5">
      <w:pPr>
        <w:spacing w:line="360" w:lineRule="auto"/>
        <w:rPr>
          <w:rFonts w:ascii="Arial" w:hAnsi="Arial" w:cs="Arial"/>
          <w:sz w:val="20"/>
          <w:szCs w:val="20"/>
        </w:rPr>
      </w:pPr>
    </w:p>
    <w:p w:rsidR="003528A2" w:rsidRPr="003528A2" w:rsidRDefault="003528A2" w:rsidP="008332E5">
      <w:pPr>
        <w:spacing w:line="360" w:lineRule="auto"/>
        <w:rPr>
          <w:rFonts w:ascii="Arial" w:hAnsi="Arial" w:cs="Arial"/>
          <w:sz w:val="20"/>
          <w:szCs w:val="20"/>
        </w:rPr>
      </w:pPr>
    </w:p>
    <w:p w:rsidR="003528A2" w:rsidRPr="003528A2" w:rsidRDefault="003528A2" w:rsidP="008332E5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sectPr w:rsidR="003528A2" w:rsidRPr="003528A2" w:rsidSect="00D244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FC7" w:rsidRDefault="00956FC7" w:rsidP="00C879AC">
      <w:pPr>
        <w:spacing w:after="0" w:line="240" w:lineRule="auto"/>
      </w:pPr>
      <w:r>
        <w:separator/>
      </w:r>
    </w:p>
  </w:endnote>
  <w:endnote w:type="continuationSeparator" w:id="0">
    <w:p w:rsidR="00956FC7" w:rsidRDefault="00956FC7" w:rsidP="00C8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FC7" w:rsidRDefault="00956FC7" w:rsidP="00C879AC">
      <w:pPr>
        <w:spacing w:after="0" w:line="240" w:lineRule="auto"/>
      </w:pPr>
      <w:r>
        <w:separator/>
      </w:r>
    </w:p>
  </w:footnote>
  <w:footnote w:type="continuationSeparator" w:id="0">
    <w:p w:rsidR="00956FC7" w:rsidRDefault="00956FC7" w:rsidP="00C87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1E9"/>
    <w:multiLevelType w:val="hybridMultilevel"/>
    <w:tmpl w:val="32A41F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1C2C"/>
    <w:multiLevelType w:val="hybridMultilevel"/>
    <w:tmpl w:val="DD62852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60B88"/>
    <w:multiLevelType w:val="hybridMultilevel"/>
    <w:tmpl w:val="364091AC"/>
    <w:lvl w:ilvl="0" w:tplc="5E24EA3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0C2"/>
    <w:rsid w:val="00013BA9"/>
    <w:rsid w:val="00075A74"/>
    <w:rsid w:val="00096B90"/>
    <w:rsid w:val="001370C2"/>
    <w:rsid w:val="001C1323"/>
    <w:rsid w:val="002058E2"/>
    <w:rsid w:val="0022414A"/>
    <w:rsid w:val="00270E19"/>
    <w:rsid w:val="002B0926"/>
    <w:rsid w:val="003528A2"/>
    <w:rsid w:val="00407EE7"/>
    <w:rsid w:val="004A302A"/>
    <w:rsid w:val="004D6E6A"/>
    <w:rsid w:val="00524CAE"/>
    <w:rsid w:val="00533967"/>
    <w:rsid w:val="00746209"/>
    <w:rsid w:val="007A6AD3"/>
    <w:rsid w:val="007D08F0"/>
    <w:rsid w:val="00807BD7"/>
    <w:rsid w:val="008332E5"/>
    <w:rsid w:val="00857BCA"/>
    <w:rsid w:val="008F0F99"/>
    <w:rsid w:val="00956FC7"/>
    <w:rsid w:val="00994111"/>
    <w:rsid w:val="00A32233"/>
    <w:rsid w:val="00A75BF9"/>
    <w:rsid w:val="00B12AEA"/>
    <w:rsid w:val="00B647B4"/>
    <w:rsid w:val="00B77849"/>
    <w:rsid w:val="00C17CB3"/>
    <w:rsid w:val="00C24385"/>
    <w:rsid w:val="00C879AC"/>
    <w:rsid w:val="00D244BA"/>
    <w:rsid w:val="00D44E1C"/>
    <w:rsid w:val="00EC32EC"/>
    <w:rsid w:val="00F6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5411"/>
  <w15:docId w15:val="{25B5C65D-4249-49F8-A132-B85B537C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44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B0926"/>
    <w:rPr>
      <w:b/>
      <w:bCs/>
    </w:rPr>
  </w:style>
  <w:style w:type="character" w:styleId="Enfasicorsivo">
    <w:name w:val="Emphasis"/>
    <w:basedOn w:val="Carpredefinitoparagrafo"/>
    <w:uiPriority w:val="20"/>
    <w:qFormat/>
    <w:rsid w:val="002B092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C2438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528A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6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87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79AC"/>
  </w:style>
  <w:style w:type="paragraph" w:styleId="Pidipagina">
    <w:name w:val="footer"/>
    <w:basedOn w:val="Normale"/>
    <w:link w:val="PidipaginaCarattere"/>
    <w:uiPriority w:val="99"/>
    <w:semiHidden/>
    <w:unhideWhenUsed/>
    <w:rsid w:val="00C87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5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garante/doc.jsp?ID=6912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sonline.aduc.it/sentenza/ingiunzioni+fiscali+emesse+debiti+tributari+giudice_27262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t.blastingnews.com/tasse/2015/06/guida-imu-rata-giugno-calcolo-scadenza-chi-deve-pagarla-e-codici-tributo-per-l-f24-0042594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blastingnews.com/tasse/2015/05/imu-tasi-e-tari-2015-scadenze-e-novita-per-le-tasse-sulla-casa-00390554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4E49-CEE7-45CC-81B6-1CA9DD43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Enzo</cp:lastModifiedBy>
  <cp:revision>20</cp:revision>
  <dcterms:created xsi:type="dcterms:W3CDTF">2018-07-23T08:55:00Z</dcterms:created>
  <dcterms:modified xsi:type="dcterms:W3CDTF">2019-03-06T15:43:00Z</dcterms:modified>
</cp:coreProperties>
</file>